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567D" w14:textId="41876B5A" w:rsidR="00E749FD" w:rsidRPr="00E749FD" w:rsidRDefault="003668F7" w:rsidP="00E749FD">
      <w:pPr>
        <w:pStyle w:val="Ingetavstnd"/>
        <w:spacing w:before="1200" w:after="120"/>
        <w:rPr>
          <w:rFonts w:ascii="Arial" w:hAnsi="Arial" w:cs="Arial"/>
          <w:b/>
          <w:sz w:val="52"/>
          <w:szCs w:val="52"/>
        </w:rPr>
      </w:pPr>
      <w:bookmarkStart w:id="0" w:name="_Toc92299471"/>
      <w:bookmarkStart w:id="1" w:name="_Toc92299430"/>
      <w:bookmarkStart w:id="2" w:name="_Toc92299286"/>
      <w:bookmarkStart w:id="3" w:name="_Toc92299171"/>
      <w:bookmarkStart w:id="4" w:name="_Toc92299130"/>
      <w:bookmarkStart w:id="5" w:name="_Toc92298975"/>
      <w:bookmarkStart w:id="6" w:name="_Toc92287715"/>
      <w:bookmarkStart w:id="7" w:name="_Toc430277558"/>
      <w:bookmarkStart w:id="8" w:name="_Toc418595696"/>
      <w:bookmarkStart w:id="9" w:name="_Toc449949575"/>
      <w:bookmarkStart w:id="10" w:name="_Toc423431722"/>
      <w:r w:rsidRPr="00E749FD">
        <w:rPr>
          <w:rFonts w:ascii="Arial" w:hAnsi="Arial" w:cs="Arial"/>
          <w:b/>
          <w:sz w:val="52"/>
          <w:szCs w:val="52"/>
        </w:rPr>
        <w:t>KVALITETSDEKLARATION</w:t>
      </w:r>
    </w:p>
    <w:p w14:paraId="5E29EF45" w14:textId="77777777" w:rsidR="007F58AE" w:rsidRPr="00E749FD" w:rsidRDefault="005C3FDC" w:rsidP="00E749FD">
      <w:pPr>
        <w:pStyle w:val="Ingetavstnd"/>
        <w:spacing w:before="120" w:after="1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Konjunkturstatistik, löner för kommuner (KLK)</w:t>
      </w:r>
    </w:p>
    <w:p w14:paraId="09CD1FA2" w14:textId="77777777" w:rsidR="00FE640C" w:rsidRDefault="00FE640C" w:rsidP="00F219F2"/>
    <w:p w14:paraId="1D433D1B" w14:textId="77777777" w:rsidR="00226144" w:rsidRPr="00C22920" w:rsidRDefault="003D7E93" w:rsidP="000C7C58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Ä</w:t>
      </w:r>
      <w:r w:rsidR="00226144" w:rsidRPr="00C22920">
        <w:rPr>
          <w:rFonts w:cs="Arial"/>
          <w:sz w:val="22"/>
          <w:szCs w:val="22"/>
        </w:rPr>
        <w:t>mnesområde</w:t>
      </w:r>
    </w:p>
    <w:p w14:paraId="378BF194" w14:textId="77777777" w:rsidR="006F6376" w:rsidRDefault="003D6115" w:rsidP="00F219F2">
      <w:pPr>
        <w:rPr>
          <w:lang w:eastAsia="sv-SE"/>
        </w:rPr>
      </w:pPr>
      <w:r>
        <w:rPr>
          <w:lang w:eastAsia="sv-SE"/>
        </w:rPr>
        <w:t>Arbetsmarknad</w:t>
      </w:r>
    </w:p>
    <w:p w14:paraId="0EBF7A29" w14:textId="77777777" w:rsidR="001F18F8" w:rsidRPr="00F219F2" w:rsidRDefault="001F18F8" w:rsidP="00F219F2">
      <w:pPr>
        <w:rPr>
          <w:lang w:eastAsia="sv-SE"/>
        </w:rPr>
      </w:pPr>
    </w:p>
    <w:p w14:paraId="62BE1DA1" w14:textId="77777777" w:rsidR="004450F5" w:rsidRPr="00C22920" w:rsidRDefault="004450F5" w:rsidP="004450F5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Statistikområde</w:t>
      </w:r>
    </w:p>
    <w:p w14:paraId="3283A62C" w14:textId="77777777" w:rsidR="00251DEF" w:rsidRDefault="003D6115" w:rsidP="00251DEF">
      <w:pPr>
        <w:rPr>
          <w:lang w:eastAsia="sv-SE"/>
        </w:rPr>
      </w:pPr>
      <w:r>
        <w:rPr>
          <w:lang w:eastAsia="sv-SE"/>
        </w:rPr>
        <w:t>Löner och arbetskostnader</w:t>
      </w:r>
    </w:p>
    <w:p w14:paraId="7F8AA30C" w14:textId="77777777" w:rsidR="001F18F8" w:rsidRPr="00F219F2" w:rsidRDefault="001F18F8" w:rsidP="00251DEF">
      <w:pPr>
        <w:rPr>
          <w:lang w:eastAsia="sv-SE"/>
        </w:rPr>
      </w:pPr>
    </w:p>
    <w:p w14:paraId="049E04FD" w14:textId="77777777" w:rsidR="0074142D" w:rsidRPr="00C22920" w:rsidRDefault="004450F5" w:rsidP="0074142D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Produktkod</w:t>
      </w:r>
    </w:p>
    <w:p w14:paraId="3D321AAD" w14:textId="77777777" w:rsidR="00251DEF" w:rsidRDefault="003D6115" w:rsidP="00251DEF">
      <w:pPr>
        <w:rPr>
          <w:lang w:eastAsia="sv-SE"/>
        </w:rPr>
      </w:pPr>
      <w:r>
        <w:rPr>
          <w:lang w:eastAsia="sv-SE"/>
        </w:rPr>
        <w:t>AM0108</w:t>
      </w:r>
    </w:p>
    <w:p w14:paraId="4636449A" w14:textId="77777777" w:rsidR="001F18F8" w:rsidRPr="00F219F2" w:rsidRDefault="001F18F8" w:rsidP="00251DEF">
      <w:pPr>
        <w:rPr>
          <w:lang w:eastAsia="sv-SE"/>
        </w:rPr>
      </w:pPr>
    </w:p>
    <w:p w14:paraId="2AF2950C" w14:textId="77777777" w:rsidR="007F58AE" w:rsidRPr="00C22920" w:rsidRDefault="007F58AE" w:rsidP="007F58AE">
      <w:pPr>
        <w:pStyle w:val="Innehllsfrteckningsrubrik"/>
        <w:rPr>
          <w:rFonts w:cs="Arial"/>
          <w:sz w:val="22"/>
          <w:szCs w:val="22"/>
        </w:rPr>
      </w:pPr>
      <w:r w:rsidRPr="00C22920">
        <w:rPr>
          <w:rFonts w:cs="Arial"/>
          <w:sz w:val="22"/>
          <w:szCs w:val="22"/>
        </w:rPr>
        <w:t>Referenstid</w:t>
      </w:r>
    </w:p>
    <w:p w14:paraId="374CC3AD" w14:textId="0A66BAE1" w:rsidR="00FC616D" w:rsidRDefault="001F7343" w:rsidP="001F18F8">
      <w:pPr>
        <w:rPr>
          <w:rFonts w:ascii="Arial" w:eastAsiaTheme="majorEastAsia" w:hAnsi="Arial" w:cstheme="majorBidi"/>
          <w:bCs/>
          <w:iCs/>
          <w:sz w:val="28"/>
          <w:szCs w:val="28"/>
          <w:lang w:bidi="en-US"/>
        </w:rPr>
      </w:pPr>
      <w:r w:rsidRPr="00BA0C12">
        <w:rPr>
          <w:lang w:eastAsia="sv-SE"/>
        </w:rPr>
        <w:t>202</w:t>
      </w:r>
      <w:r w:rsidR="004619E4" w:rsidRPr="00BA0C12">
        <w:rPr>
          <w:lang w:eastAsia="sv-SE"/>
        </w:rPr>
        <w:t>4</w:t>
      </w:r>
      <w:r w:rsidR="00614274">
        <w:rPr>
          <w:lang w:eastAsia="sv-SE"/>
        </w:rPr>
        <w:t xml:space="preserve"> Månad</w:t>
      </w:r>
      <w:bookmarkStart w:id="11" w:name="_Toc350128446"/>
      <w:bookmarkStart w:id="12" w:name="_Toc323044831"/>
      <w:bookmarkStart w:id="13" w:name="_Toc389028314"/>
      <w:bookmarkStart w:id="14" w:name="_Toc423431707"/>
      <w:r w:rsidR="00126FBF">
        <w:rPr>
          <w:noProof/>
          <w:lang w:eastAsia="sv-SE"/>
        </w:rPr>
        <w:drawing>
          <wp:anchor distT="0" distB="0" distL="114300" distR="114300" simplePos="0" relativeHeight="251658240" behindDoc="0" locked="1" layoutInCell="1" allowOverlap="0" wp14:anchorId="0DD37213" wp14:editId="34104A2C">
            <wp:simplePos x="0" y="0"/>
            <wp:positionH relativeFrom="column">
              <wp:posOffset>0</wp:posOffset>
            </wp:positionH>
            <wp:positionV relativeFrom="page">
              <wp:posOffset>9037320</wp:posOffset>
            </wp:positionV>
            <wp:extent cx="2062800" cy="306000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16D">
        <w:rPr>
          <w:rFonts w:ascii="Arial" w:eastAsiaTheme="majorEastAsia" w:hAnsi="Arial" w:cstheme="majorBidi"/>
          <w:b/>
          <w:bCs/>
          <w:iCs/>
          <w:sz w:val="28"/>
          <w:szCs w:val="28"/>
          <w:lang w:bidi="en-US"/>
        </w:rPr>
        <w:br w:type="page"/>
      </w:r>
    </w:p>
    <w:bookmarkEnd w:id="11"/>
    <w:bookmarkEnd w:id="12"/>
    <w:bookmarkEnd w:id="13"/>
    <w:bookmarkEnd w:id="14"/>
    <w:p w14:paraId="16FBA748" w14:textId="77777777" w:rsidR="00582C96" w:rsidRDefault="00582C96" w:rsidP="0026623A"/>
    <w:p w14:paraId="6395C269" w14:textId="6890850C" w:rsidR="00902423" w:rsidRDefault="00DB3B2F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r>
        <w:fldChar w:fldCharType="begin"/>
      </w:r>
      <w:r>
        <w:instrText xml:space="preserve"> TOC \h \z \t "Rubrik 1;2;Rubrik 2;3;Rubrik 3;4;Rubrik 4;4;Rubrik;1" </w:instrText>
      </w:r>
      <w:r>
        <w:fldChar w:fldCharType="separate"/>
      </w:r>
      <w:hyperlink w:anchor="_Toc67643728" w:history="1">
        <w:r w:rsidR="00902423" w:rsidRPr="0047267B">
          <w:rPr>
            <w:rStyle w:val="Hyperlnk"/>
            <w:rFonts w:cs="Arial"/>
            <w:noProof/>
          </w:rPr>
          <w:t>Statistikens kvalitet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_Toc67643728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03502C3C" w14:textId="3E9AFFDF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29" w:history="1">
        <w:r w:rsidR="00902423" w:rsidRPr="0047267B">
          <w:rPr>
            <w:rStyle w:val="Hyperlnk"/>
          </w:rPr>
          <w:t>1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Relevans</w:t>
        </w:r>
        <w:r w:rsidR="00902423">
          <w:rPr>
            <w:webHidden/>
          </w:rPr>
          <w:tab/>
        </w:r>
        <w:r w:rsidR="00902423">
          <w:rPr>
            <w:webHidden/>
          </w:rPr>
          <w:fldChar w:fldCharType="begin"/>
        </w:r>
        <w:r w:rsidR="00902423">
          <w:rPr>
            <w:webHidden/>
          </w:rPr>
          <w:instrText xml:space="preserve"> PAGEREF _Toc67643729 \h </w:instrText>
        </w:r>
        <w:r w:rsidR="00902423">
          <w:rPr>
            <w:webHidden/>
          </w:rPr>
        </w:r>
        <w:r w:rsidR="00902423">
          <w:rPr>
            <w:webHidden/>
          </w:rPr>
          <w:fldChar w:fldCharType="separate"/>
        </w:r>
        <w:r w:rsidR="00902423">
          <w:rPr>
            <w:webHidden/>
          </w:rPr>
          <w:t>3</w:t>
        </w:r>
        <w:r w:rsidR="00902423">
          <w:rPr>
            <w:webHidden/>
          </w:rPr>
          <w:fldChar w:fldCharType="end"/>
        </w:r>
      </w:hyperlink>
    </w:p>
    <w:p w14:paraId="35BDB777" w14:textId="5FCA8206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30" w:history="1">
        <w:r w:rsidR="00902423" w:rsidRPr="0047267B">
          <w:rPr>
            <w:rStyle w:val="Hyperlnk"/>
            <w:noProof/>
          </w:rPr>
          <w:t>1.1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Ändamål och informationsbehov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_Toc67643730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4A341684" w14:textId="52315498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1" w:history="1">
        <w:r w:rsidR="00902423" w:rsidRPr="0047267B">
          <w:rPr>
            <w:rStyle w:val="Hyperlnk"/>
            <w:noProof/>
          </w:rPr>
          <w:t>1.1.1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Statistikens ändamål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_Toc67643731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4B509EF8" w14:textId="3CBB9233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2" w:history="1">
        <w:r w:rsidR="00902423" w:rsidRPr="0047267B">
          <w:rPr>
            <w:rStyle w:val="Hyperlnk"/>
            <w:noProof/>
          </w:rPr>
          <w:t>1.1.2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Statistikanvändares informationsbehov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_Toc67643732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6EEF61D7" w14:textId="0288C11F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33" w:history="1">
        <w:r w:rsidR="00902423" w:rsidRPr="0047267B">
          <w:rPr>
            <w:rStyle w:val="Hyperlnk"/>
            <w:noProof/>
          </w:rPr>
          <w:t>1.2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Statistikens innehåll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_Toc67643733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70895576" w14:textId="0BF7CEAD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4" w:history="1">
        <w:r w:rsidR="00902423" w:rsidRPr="0047267B">
          <w:rPr>
            <w:rStyle w:val="Hyperlnk"/>
            <w:noProof/>
          </w:rPr>
          <w:t>1.2.1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Objekt och population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_Toc67643734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3</w:t>
        </w:r>
        <w:r w:rsidR="00902423">
          <w:rPr>
            <w:noProof/>
            <w:webHidden/>
          </w:rPr>
          <w:fldChar w:fldCharType="end"/>
        </w:r>
      </w:hyperlink>
    </w:p>
    <w:p w14:paraId="5FA0807C" w14:textId="7FE47655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5" w:history="1">
        <w:r w:rsidR="00902423" w:rsidRPr="0047267B">
          <w:rPr>
            <w:rStyle w:val="Hyperlnk"/>
            <w:noProof/>
          </w:rPr>
          <w:t>1.2.2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Variabler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_Toc67643735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4</w:t>
        </w:r>
        <w:r w:rsidR="00902423">
          <w:rPr>
            <w:noProof/>
            <w:webHidden/>
          </w:rPr>
          <w:fldChar w:fldCharType="end"/>
        </w:r>
      </w:hyperlink>
    </w:p>
    <w:p w14:paraId="2B6DEF30" w14:textId="0AAC5293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6" w:history="1">
        <w:r w:rsidR="00902423" w:rsidRPr="0047267B">
          <w:rPr>
            <w:rStyle w:val="Hyperlnk"/>
            <w:noProof/>
          </w:rPr>
          <w:t>1.2.3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Statistiska mått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_Toc67643736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4</w:t>
        </w:r>
        <w:r w:rsidR="00902423">
          <w:rPr>
            <w:noProof/>
            <w:webHidden/>
          </w:rPr>
          <w:fldChar w:fldCharType="end"/>
        </w:r>
      </w:hyperlink>
    </w:p>
    <w:p w14:paraId="337DCB9F" w14:textId="35EA611A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7" w:history="1">
        <w:r w:rsidR="00902423" w:rsidRPr="0047267B">
          <w:rPr>
            <w:rStyle w:val="Hyperlnk"/>
            <w:noProof/>
          </w:rPr>
          <w:t>1.2.4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Redovisningsgrupper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_Toc67643737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4</w:t>
        </w:r>
        <w:r w:rsidR="00902423">
          <w:rPr>
            <w:noProof/>
            <w:webHidden/>
          </w:rPr>
          <w:fldChar w:fldCharType="end"/>
        </w:r>
      </w:hyperlink>
    </w:p>
    <w:p w14:paraId="7BF95BAA" w14:textId="5D2C9C3D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38" w:history="1">
        <w:r w:rsidR="00902423" w:rsidRPr="0047267B">
          <w:rPr>
            <w:rStyle w:val="Hyperlnk"/>
            <w:noProof/>
          </w:rPr>
          <w:t>1.2.5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Referenstider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_Toc67643738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4</w:t>
        </w:r>
        <w:r w:rsidR="00902423">
          <w:rPr>
            <w:noProof/>
            <w:webHidden/>
          </w:rPr>
          <w:fldChar w:fldCharType="end"/>
        </w:r>
      </w:hyperlink>
    </w:p>
    <w:p w14:paraId="283E7ED9" w14:textId="1EFEAB19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39" w:history="1">
        <w:r w:rsidR="00902423" w:rsidRPr="0047267B">
          <w:rPr>
            <w:rStyle w:val="Hyperlnk"/>
          </w:rPr>
          <w:t>2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Tillförlitlighet</w:t>
        </w:r>
        <w:r w:rsidR="00902423">
          <w:rPr>
            <w:webHidden/>
          </w:rPr>
          <w:tab/>
        </w:r>
        <w:r w:rsidR="00902423">
          <w:rPr>
            <w:webHidden/>
          </w:rPr>
          <w:fldChar w:fldCharType="begin"/>
        </w:r>
        <w:r w:rsidR="00902423">
          <w:rPr>
            <w:webHidden/>
          </w:rPr>
          <w:instrText xml:space="preserve"> PAGEREF _Toc67643739 \h </w:instrText>
        </w:r>
        <w:r w:rsidR="00902423">
          <w:rPr>
            <w:webHidden/>
          </w:rPr>
        </w:r>
        <w:r w:rsidR="00902423">
          <w:rPr>
            <w:webHidden/>
          </w:rPr>
          <w:fldChar w:fldCharType="separate"/>
        </w:r>
        <w:r w:rsidR="00902423">
          <w:rPr>
            <w:webHidden/>
          </w:rPr>
          <w:t>5</w:t>
        </w:r>
        <w:r w:rsidR="00902423">
          <w:rPr>
            <w:webHidden/>
          </w:rPr>
          <w:fldChar w:fldCharType="end"/>
        </w:r>
      </w:hyperlink>
    </w:p>
    <w:p w14:paraId="00950881" w14:textId="1B2BC9F0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40" w:history="1">
        <w:r w:rsidR="00902423" w:rsidRPr="0047267B">
          <w:rPr>
            <w:rStyle w:val="Hyperlnk"/>
            <w:noProof/>
          </w:rPr>
          <w:t>2.1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Tillförlitlighet totalt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_Toc67643740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7073DCC8" w14:textId="0DFF64F9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41" w:history="1">
        <w:r w:rsidR="00902423" w:rsidRPr="0047267B">
          <w:rPr>
            <w:rStyle w:val="Hyperlnk"/>
            <w:noProof/>
          </w:rPr>
          <w:t>2.2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Osäkerhetskällor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_Toc67643741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27E9CD09" w14:textId="7AD4F0E0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2" w:history="1">
        <w:r w:rsidR="00902423" w:rsidRPr="0047267B">
          <w:rPr>
            <w:rStyle w:val="Hyperlnk"/>
            <w:noProof/>
          </w:rPr>
          <w:t>2.2.1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Urval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_Toc67643742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4F6B9255" w14:textId="6A465A2E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3" w:history="1">
        <w:r w:rsidR="00902423" w:rsidRPr="0047267B">
          <w:rPr>
            <w:rStyle w:val="Hyperlnk"/>
            <w:noProof/>
          </w:rPr>
          <w:t>2.2.2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Ramtäckning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_Toc67643743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6CD9AC54" w14:textId="6A760F77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4" w:history="1">
        <w:r w:rsidR="00902423" w:rsidRPr="0047267B">
          <w:rPr>
            <w:rStyle w:val="Hyperlnk"/>
            <w:noProof/>
          </w:rPr>
          <w:t>2.2.3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Mätning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_Toc67643744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75B51078" w14:textId="382AA86F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5" w:history="1">
        <w:r w:rsidR="00902423" w:rsidRPr="0047267B">
          <w:rPr>
            <w:rStyle w:val="Hyperlnk"/>
            <w:noProof/>
          </w:rPr>
          <w:t>2.2.4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Bortfall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_Toc67643745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5</w:t>
        </w:r>
        <w:r w:rsidR="00902423">
          <w:rPr>
            <w:noProof/>
            <w:webHidden/>
          </w:rPr>
          <w:fldChar w:fldCharType="end"/>
        </w:r>
      </w:hyperlink>
    </w:p>
    <w:p w14:paraId="3E45B279" w14:textId="70325013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6" w:history="1">
        <w:r w:rsidR="00902423" w:rsidRPr="0047267B">
          <w:rPr>
            <w:rStyle w:val="Hyperlnk"/>
            <w:noProof/>
          </w:rPr>
          <w:t>2.2.5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Bearbetning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_Toc67643746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12DC8E92" w14:textId="107CBDEC" w:rsidR="00902423" w:rsidRDefault="00BA0C12">
      <w:pPr>
        <w:pStyle w:val="Innehll4"/>
        <w:tabs>
          <w:tab w:val="left" w:pos="1320"/>
          <w:tab w:val="right" w:leader="dot" w:pos="7643"/>
        </w:tabs>
        <w:rPr>
          <w:rFonts w:asciiTheme="minorHAnsi" w:eastAsiaTheme="minorEastAsia" w:hAnsiTheme="minorHAnsi"/>
          <w:noProof/>
          <w:sz w:val="22"/>
          <w:szCs w:val="22"/>
          <w:lang w:eastAsia="sv-SE"/>
        </w:rPr>
      </w:pPr>
      <w:hyperlink w:anchor="_Toc67643747" w:history="1">
        <w:r w:rsidR="00902423" w:rsidRPr="0047267B">
          <w:rPr>
            <w:rStyle w:val="Hyperlnk"/>
            <w:noProof/>
          </w:rPr>
          <w:t>2.2.6</w:t>
        </w:r>
        <w:r w:rsidR="00902423">
          <w:rPr>
            <w:rFonts w:asciiTheme="minorHAnsi" w:eastAsiaTheme="minorEastAsia" w:hAnsiTheme="minorHAnsi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Modellantaganden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_Toc67643747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32563CE0" w14:textId="34211A81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48" w:history="1">
        <w:r w:rsidR="00902423" w:rsidRPr="0047267B">
          <w:rPr>
            <w:rStyle w:val="Hyperlnk"/>
            <w:noProof/>
          </w:rPr>
          <w:t>2.3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Preliminär statistik jämförd med slutlig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_Toc67643748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316A1BF1" w14:textId="2C6FED5A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49" w:history="1">
        <w:r w:rsidR="00902423" w:rsidRPr="0047267B">
          <w:rPr>
            <w:rStyle w:val="Hyperlnk"/>
          </w:rPr>
          <w:t>3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Aktualitet och punktlighet</w:t>
        </w:r>
        <w:r w:rsidR="00902423">
          <w:rPr>
            <w:webHidden/>
          </w:rPr>
          <w:tab/>
        </w:r>
        <w:r w:rsidR="00902423">
          <w:rPr>
            <w:webHidden/>
          </w:rPr>
          <w:fldChar w:fldCharType="begin"/>
        </w:r>
        <w:r w:rsidR="00902423">
          <w:rPr>
            <w:webHidden/>
          </w:rPr>
          <w:instrText xml:space="preserve"> PAGEREF _Toc67643749 \h </w:instrText>
        </w:r>
        <w:r w:rsidR="00902423">
          <w:rPr>
            <w:webHidden/>
          </w:rPr>
        </w:r>
        <w:r w:rsidR="00902423">
          <w:rPr>
            <w:webHidden/>
          </w:rPr>
          <w:fldChar w:fldCharType="separate"/>
        </w:r>
        <w:r w:rsidR="00902423">
          <w:rPr>
            <w:webHidden/>
          </w:rPr>
          <w:t>6</w:t>
        </w:r>
        <w:r w:rsidR="00902423">
          <w:rPr>
            <w:webHidden/>
          </w:rPr>
          <w:fldChar w:fldCharType="end"/>
        </w:r>
      </w:hyperlink>
    </w:p>
    <w:p w14:paraId="4EBEB9BA" w14:textId="0815E086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0" w:history="1">
        <w:r w:rsidR="00902423" w:rsidRPr="0047267B">
          <w:rPr>
            <w:rStyle w:val="Hyperlnk"/>
            <w:noProof/>
          </w:rPr>
          <w:t>3.1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Framställningstid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_Toc67643750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05E7F1DC" w14:textId="27210EB4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1" w:history="1">
        <w:r w:rsidR="00902423" w:rsidRPr="0047267B">
          <w:rPr>
            <w:rStyle w:val="Hyperlnk"/>
            <w:noProof/>
          </w:rPr>
          <w:t>3.2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Frekvens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_Toc67643751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2E363DDE" w14:textId="6987027C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2" w:history="1">
        <w:r w:rsidR="00902423" w:rsidRPr="0047267B">
          <w:rPr>
            <w:rStyle w:val="Hyperlnk"/>
            <w:noProof/>
          </w:rPr>
          <w:t>3.3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Punktlighet</w:t>
        </w:r>
        <w:r w:rsidR="00902423">
          <w:rPr>
            <w:noProof/>
            <w:webHidden/>
          </w:rPr>
          <w:tab/>
        </w:r>
        <w:r w:rsidR="00902423">
          <w:rPr>
            <w:noProof/>
            <w:webHidden/>
          </w:rPr>
          <w:fldChar w:fldCharType="begin"/>
        </w:r>
        <w:r w:rsidR="00902423">
          <w:rPr>
            <w:noProof/>
            <w:webHidden/>
          </w:rPr>
          <w:instrText xml:space="preserve"> PAGEREF _Toc67643752 \h </w:instrText>
        </w:r>
        <w:r w:rsidR="00902423">
          <w:rPr>
            <w:noProof/>
            <w:webHidden/>
          </w:rPr>
        </w:r>
        <w:r w:rsidR="00902423">
          <w:rPr>
            <w:noProof/>
            <w:webHidden/>
          </w:rPr>
          <w:fldChar w:fldCharType="separate"/>
        </w:r>
        <w:r w:rsidR="00902423">
          <w:rPr>
            <w:noProof/>
            <w:webHidden/>
          </w:rPr>
          <w:t>6</w:t>
        </w:r>
        <w:r w:rsidR="00902423">
          <w:rPr>
            <w:noProof/>
            <w:webHidden/>
          </w:rPr>
          <w:fldChar w:fldCharType="end"/>
        </w:r>
      </w:hyperlink>
    </w:p>
    <w:p w14:paraId="71F04948" w14:textId="3CE07300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53" w:history="1">
        <w:r w:rsidR="00902423" w:rsidRPr="0047267B">
          <w:rPr>
            <w:rStyle w:val="Hyperlnk"/>
          </w:rPr>
          <w:t>4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Tillgänglighet och tydlighet</w:t>
        </w:r>
        <w:r w:rsidR="00902423">
          <w:rPr>
            <w:webHidden/>
          </w:rPr>
          <w:tab/>
        </w:r>
        <w:r w:rsidR="00841D76">
          <w:rPr>
            <w:webHidden/>
          </w:rPr>
          <w:t>7</w:t>
        </w:r>
      </w:hyperlink>
    </w:p>
    <w:p w14:paraId="2A3854FB" w14:textId="246BB293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4" w:history="1">
        <w:r w:rsidR="00902423" w:rsidRPr="0047267B">
          <w:rPr>
            <w:rStyle w:val="Hyperlnk"/>
            <w:noProof/>
          </w:rPr>
          <w:t>4.1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Tillgång till statistiken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4E20E48B" w14:textId="09100A04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5" w:history="1">
        <w:r w:rsidR="00902423" w:rsidRPr="0047267B">
          <w:rPr>
            <w:rStyle w:val="Hyperlnk"/>
            <w:noProof/>
          </w:rPr>
          <w:t>4.2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Möjlighet till ytterligare statistik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5EEC8DA6" w14:textId="528EFA69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6" w:history="1">
        <w:r w:rsidR="00902423" w:rsidRPr="0047267B">
          <w:rPr>
            <w:rStyle w:val="Hyperlnk"/>
            <w:noProof/>
          </w:rPr>
          <w:t>4.3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Presentation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3402FB63" w14:textId="18BDC946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7" w:history="1">
        <w:r w:rsidR="00902423" w:rsidRPr="0047267B">
          <w:rPr>
            <w:rStyle w:val="Hyperlnk"/>
            <w:noProof/>
          </w:rPr>
          <w:t>4.4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Dokumentation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7172D5E2" w14:textId="680F3554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58" w:history="1">
        <w:r w:rsidR="00902423" w:rsidRPr="0047267B">
          <w:rPr>
            <w:rStyle w:val="Hyperlnk"/>
          </w:rPr>
          <w:t>5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Jämförbarhet och samanvändbarhet</w:t>
        </w:r>
        <w:r w:rsidR="00902423">
          <w:rPr>
            <w:webHidden/>
          </w:rPr>
          <w:tab/>
        </w:r>
        <w:r w:rsidR="00841D76">
          <w:rPr>
            <w:webHidden/>
          </w:rPr>
          <w:t>7</w:t>
        </w:r>
      </w:hyperlink>
    </w:p>
    <w:p w14:paraId="5D8445E5" w14:textId="335FFDDA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59" w:history="1">
        <w:r w:rsidR="00902423" w:rsidRPr="0047267B">
          <w:rPr>
            <w:rStyle w:val="Hyperlnk"/>
            <w:noProof/>
          </w:rPr>
          <w:t>5.1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Jämförbarhet över tid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367A59B4" w14:textId="32233076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60" w:history="1">
        <w:r w:rsidR="00902423" w:rsidRPr="0047267B">
          <w:rPr>
            <w:rStyle w:val="Hyperlnk"/>
            <w:noProof/>
          </w:rPr>
          <w:t>5.2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Jämförbarhet mellan grupper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7</w:t>
        </w:r>
      </w:hyperlink>
    </w:p>
    <w:p w14:paraId="0ED01D5E" w14:textId="24CDD172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61" w:history="1">
        <w:r w:rsidR="00902423" w:rsidRPr="0047267B">
          <w:rPr>
            <w:rStyle w:val="Hyperlnk"/>
            <w:noProof/>
          </w:rPr>
          <w:t>5.3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Samanvändbarhet i övrigt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8</w:t>
        </w:r>
      </w:hyperlink>
    </w:p>
    <w:p w14:paraId="610363DB" w14:textId="2C511291" w:rsidR="00902423" w:rsidRDefault="00BA0C12">
      <w:pPr>
        <w:pStyle w:val="Innehll3"/>
        <w:tabs>
          <w:tab w:val="left" w:pos="1100"/>
          <w:tab w:val="right" w:leader="dot" w:pos="7643"/>
        </w:tabs>
        <w:rPr>
          <w:rFonts w:asciiTheme="minorHAnsi" w:eastAsiaTheme="minorEastAsia" w:hAnsiTheme="minorHAnsi"/>
          <w:iCs w:val="0"/>
          <w:noProof/>
          <w:sz w:val="22"/>
          <w:szCs w:val="22"/>
          <w:lang w:eastAsia="sv-SE"/>
        </w:rPr>
      </w:pPr>
      <w:hyperlink w:anchor="_Toc67643762" w:history="1">
        <w:r w:rsidR="00902423" w:rsidRPr="0047267B">
          <w:rPr>
            <w:rStyle w:val="Hyperlnk"/>
            <w:noProof/>
          </w:rPr>
          <w:t>5.4</w:t>
        </w:r>
        <w:r w:rsidR="00902423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  <w:noProof/>
          </w:rPr>
          <w:t>Numerisk överensstämmelse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8</w:t>
        </w:r>
      </w:hyperlink>
    </w:p>
    <w:p w14:paraId="5A1AB80D" w14:textId="28B6EC60" w:rsidR="00902423" w:rsidRDefault="00BA0C12">
      <w:pPr>
        <w:pStyle w:val="Innehll1"/>
        <w:tabs>
          <w:tab w:val="right" w:leader="dot" w:pos="7643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sv-SE"/>
        </w:rPr>
      </w:pPr>
      <w:hyperlink w:anchor="_Toc67643763" w:history="1">
        <w:r w:rsidR="00902423" w:rsidRPr="0047267B">
          <w:rPr>
            <w:rStyle w:val="Hyperlnk"/>
            <w:rFonts w:eastAsia="Times New Roman" w:cs="Arial"/>
            <w:noProof/>
            <w:lang w:eastAsia="sv-SE"/>
          </w:rPr>
          <w:t>Allmänna uppgifter</w:t>
        </w:r>
        <w:r w:rsidR="00902423">
          <w:rPr>
            <w:noProof/>
            <w:webHidden/>
          </w:rPr>
          <w:tab/>
        </w:r>
        <w:r w:rsidR="00841D76">
          <w:rPr>
            <w:noProof/>
            <w:webHidden/>
          </w:rPr>
          <w:t>8</w:t>
        </w:r>
      </w:hyperlink>
    </w:p>
    <w:p w14:paraId="4E13AF5A" w14:textId="11F68E06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4" w:history="1">
        <w:r w:rsidR="00902423" w:rsidRPr="0047267B">
          <w:rPr>
            <w:rStyle w:val="Hyperlnk"/>
          </w:rPr>
          <w:t>A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Klassificeringen Sveriges officiella statistik</w:t>
        </w:r>
        <w:r w:rsidR="00902423">
          <w:rPr>
            <w:webHidden/>
          </w:rPr>
          <w:tab/>
        </w:r>
        <w:r w:rsidR="00841D76">
          <w:rPr>
            <w:webHidden/>
          </w:rPr>
          <w:t>8</w:t>
        </w:r>
      </w:hyperlink>
    </w:p>
    <w:p w14:paraId="643AE75C" w14:textId="097CB795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5" w:history="1">
        <w:r w:rsidR="00902423" w:rsidRPr="0047267B">
          <w:rPr>
            <w:rStyle w:val="Hyperlnk"/>
          </w:rPr>
          <w:t>B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Sekretess och personuppgiftsbehandling</w:t>
        </w:r>
        <w:r w:rsidR="00902423">
          <w:rPr>
            <w:webHidden/>
          </w:rPr>
          <w:tab/>
        </w:r>
        <w:r w:rsidR="00841D76">
          <w:rPr>
            <w:webHidden/>
          </w:rPr>
          <w:t>8</w:t>
        </w:r>
      </w:hyperlink>
    </w:p>
    <w:p w14:paraId="42CAA231" w14:textId="791F3EA2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6" w:history="1">
        <w:r w:rsidR="00902423" w:rsidRPr="0047267B">
          <w:rPr>
            <w:rStyle w:val="Hyperlnk"/>
          </w:rPr>
          <w:t>C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Bevarande och gallring</w:t>
        </w:r>
        <w:r w:rsidR="00902423">
          <w:rPr>
            <w:webHidden/>
          </w:rPr>
          <w:tab/>
        </w:r>
        <w:r w:rsidR="00841D76">
          <w:rPr>
            <w:webHidden/>
          </w:rPr>
          <w:t>9</w:t>
        </w:r>
      </w:hyperlink>
    </w:p>
    <w:p w14:paraId="72BD0F9C" w14:textId="6CB660BA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7" w:history="1">
        <w:r w:rsidR="00902423" w:rsidRPr="0047267B">
          <w:rPr>
            <w:rStyle w:val="Hyperlnk"/>
          </w:rPr>
          <w:t>D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Uppgiftsskyldighet</w:t>
        </w:r>
        <w:r w:rsidR="00902423">
          <w:rPr>
            <w:webHidden/>
          </w:rPr>
          <w:tab/>
        </w:r>
        <w:r w:rsidR="00841D76">
          <w:rPr>
            <w:webHidden/>
          </w:rPr>
          <w:t>9</w:t>
        </w:r>
      </w:hyperlink>
    </w:p>
    <w:p w14:paraId="5A0CBD65" w14:textId="27D61BC8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8" w:history="1">
        <w:r w:rsidR="00902423" w:rsidRPr="0047267B">
          <w:rPr>
            <w:rStyle w:val="Hyperlnk"/>
          </w:rPr>
          <w:t>E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EU-reglering och internationell rapportering</w:t>
        </w:r>
        <w:r w:rsidR="00902423">
          <w:rPr>
            <w:webHidden/>
          </w:rPr>
          <w:tab/>
        </w:r>
        <w:r w:rsidR="00841D76">
          <w:rPr>
            <w:webHidden/>
          </w:rPr>
          <w:t>9</w:t>
        </w:r>
      </w:hyperlink>
    </w:p>
    <w:p w14:paraId="35CAB0EC" w14:textId="51C203DF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69" w:history="1">
        <w:r w:rsidR="00902423" w:rsidRPr="0047267B">
          <w:rPr>
            <w:rStyle w:val="Hyperlnk"/>
          </w:rPr>
          <w:t>F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Historik</w:t>
        </w:r>
        <w:r w:rsidR="00902423">
          <w:rPr>
            <w:webHidden/>
          </w:rPr>
          <w:tab/>
        </w:r>
        <w:r w:rsidR="00841D76">
          <w:rPr>
            <w:webHidden/>
          </w:rPr>
          <w:t>9</w:t>
        </w:r>
      </w:hyperlink>
    </w:p>
    <w:p w14:paraId="3BF2106C" w14:textId="02B0F69B" w:rsidR="00902423" w:rsidRDefault="00BA0C12">
      <w:pPr>
        <w:pStyle w:val="Innehll2"/>
        <w:rPr>
          <w:rFonts w:asciiTheme="minorHAnsi" w:eastAsiaTheme="minorEastAsia" w:hAnsiTheme="minorHAnsi"/>
          <w:sz w:val="22"/>
          <w:szCs w:val="22"/>
          <w:lang w:eastAsia="sv-SE"/>
        </w:rPr>
      </w:pPr>
      <w:hyperlink w:anchor="_Toc67643770" w:history="1">
        <w:r w:rsidR="00902423" w:rsidRPr="0047267B">
          <w:rPr>
            <w:rStyle w:val="Hyperlnk"/>
          </w:rPr>
          <w:t>G</w:t>
        </w:r>
        <w:r w:rsidR="00902423">
          <w:rPr>
            <w:rFonts w:asciiTheme="minorHAnsi" w:eastAsiaTheme="minorEastAsia" w:hAnsiTheme="minorHAnsi"/>
            <w:sz w:val="22"/>
            <w:szCs w:val="22"/>
            <w:lang w:eastAsia="sv-SE"/>
          </w:rPr>
          <w:tab/>
        </w:r>
        <w:r w:rsidR="00902423" w:rsidRPr="0047267B">
          <w:rPr>
            <w:rStyle w:val="Hyperlnk"/>
          </w:rPr>
          <w:t>Kontaktuppgifter</w:t>
        </w:r>
        <w:r w:rsidR="00902423">
          <w:rPr>
            <w:webHidden/>
          </w:rPr>
          <w:tab/>
        </w:r>
        <w:r w:rsidR="00841D76">
          <w:rPr>
            <w:webHidden/>
          </w:rPr>
          <w:t>9</w:t>
        </w:r>
      </w:hyperlink>
    </w:p>
    <w:p w14:paraId="697D8246" w14:textId="1BBE036A" w:rsidR="0074142D" w:rsidRDefault="00DB3B2F" w:rsidP="0026623A">
      <w:r>
        <w:fldChar w:fldCharType="end"/>
      </w:r>
    </w:p>
    <w:p w14:paraId="0EFBB490" w14:textId="77777777" w:rsidR="002F7EEC" w:rsidRPr="00FF0CB7" w:rsidRDefault="003E2BDB" w:rsidP="00E749FD">
      <w:pPr>
        <w:pStyle w:val="Rubrik"/>
        <w:spacing w:before="240"/>
        <w:rPr>
          <w:rFonts w:ascii="Arial" w:hAnsi="Arial" w:cs="Arial"/>
          <w:b/>
          <w:sz w:val="28"/>
          <w:szCs w:val="28"/>
        </w:rPr>
      </w:pPr>
      <w:bookmarkStart w:id="15" w:name="_Toc467250852"/>
      <w:bookmarkStart w:id="16" w:name="_Toc467251684"/>
      <w:bookmarkStart w:id="17" w:name="_Toc467482221"/>
      <w:bookmarkStart w:id="18" w:name="_Toc67643728"/>
      <w:r w:rsidRPr="00FF0CB7">
        <w:rPr>
          <w:rFonts w:ascii="Arial" w:hAnsi="Arial" w:cs="Arial"/>
          <w:b/>
          <w:sz w:val="28"/>
          <w:szCs w:val="28"/>
        </w:rPr>
        <w:lastRenderedPageBreak/>
        <w:t>Statistikens kvalitet</w:t>
      </w:r>
      <w:bookmarkEnd w:id="15"/>
      <w:bookmarkEnd w:id="16"/>
      <w:bookmarkEnd w:id="17"/>
      <w:bookmarkEnd w:id="18"/>
    </w:p>
    <w:p w14:paraId="694AB8D3" w14:textId="77777777" w:rsidR="00561468" w:rsidRPr="00FF0CB7" w:rsidRDefault="00F7495F" w:rsidP="0077704B">
      <w:pPr>
        <w:pStyle w:val="Rubrik1"/>
        <w:ind w:left="680" w:hanging="680"/>
        <w:rPr>
          <w:bCs w:val="0"/>
          <w:sz w:val="24"/>
          <w:szCs w:val="24"/>
        </w:rPr>
      </w:pPr>
      <w:bookmarkStart w:id="19" w:name="_Toc467250853"/>
      <w:bookmarkStart w:id="20" w:name="_Toc467251685"/>
      <w:bookmarkStart w:id="21" w:name="_Toc467482222"/>
      <w:bookmarkStart w:id="22" w:name="_Toc67643729"/>
      <w:r w:rsidRPr="00FF0CB7">
        <w:rPr>
          <w:sz w:val="24"/>
          <w:szCs w:val="24"/>
        </w:rPr>
        <w:t>1</w:t>
      </w:r>
      <w:r w:rsidR="00561468" w:rsidRPr="00FF0CB7">
        <w:rPr>
          <w:sz w:val="24"/>
          <w:szCs w:val="24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F0CB7">
        <w:rPr>
          <w:bCs w:val="0"/>
          <w:sz w:val="24"/>
          <w:szCs w:val="24"/>
        </w:rPr>
        <w:t>Relevans</w:t>
      </w:r>
      <w:bookmarkEnd w:id="9"/>
      <w:bookmarkEnd w:id="19"/>
      <w:bookmarkEnd w:id="20"/>
      <w:bookmarkEnd w:id="21"/>
      <w:bookmarkEnd w:id="22"/>
    </w:p>
    <w:p w14:paraId="72A15F8D" w14:textId="77777777" w:rsidR="00561468" w:rsidRPr="005A484A" w:rsidRDefault="00FA5E96" w:rsidP="0077704B">
      <w:pPr>
        <w:pStyle w:val="Rubrik2"/>
        <w:spacing w:before="240" w:after="40"/>
        <w:ind w:left="680" w:hanging="680"/>
        <w:rPr>
          <w:rStyle w:val="Rubrik2Char"/>
          <w:b/>
          <w:szCs w:val="20"/>
        </w:rPr>
      </w:pPr>
      <w:bookmarkStart w:id="23" w:name="_Toc467250854"/>
      <w:bookmarkStart w:id="24" w:name="_Toc467251686"/>
      <w:bookmarkStart w:id="25" w:name="_Toc467482223"/>
      <w:bookmarkStart w:id="26" w:name="_Toc67643730"/>
      <w:r w:rsidRPr="005A484A">
        <w:rPr>
          <w:szCs w:val="20"/>
        </w:rPr>
        <w:t>1.1</w:t>
      </w:r>
      <w:r w:rsidRPr="005A484A">
        <w:rPr>
          <w:szCs w:val="20"/>
        </w:rPr>
        <w:tab/>
      </w:r>
      <w:r w:rsidR="00FC1132" w:rsidRPr="005A484A">
        <w:rPr>
          <w:rStyle w:val="Rubrik2Char"/>
          <w:b/>
          <w:szCs w:val="20"/>
        </w:rPr>
        <w:t>Ändamål och informationsbehov</w:t>
      </w:r>
      <w:bookmarkEnd w:id="23"/>
      <w:bookmarkEnd w:id="24"/>
      <w:bookmarkEnd w:id="25"/>
      <w:bookmarkEnd w:id="26"/>
    </w:p>
    <w:p w14:paraId="33DB8974" w14:textId="77777777" w:rsidR="00F7495F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27" w:name="_Toc467250855"/>
      <w:bookmarkStart w:id="28" w:name="_Toc467251687"/>
      <w:bookmarkStart w:id="29" w:name="_Toc467482224"/>
      <w:bookmarkStart w:id="30" w:name="_Toc67643731"/>
      <w:bookmarkStart w:id="31" w:name="_Toc449949577"/>
      <w:bookmarkStart w:id="32" w:name="_Toc92287717"/>
      <w:bookmarkStart w:id="33" w:name="_Toc92298977"/>
      <w:bookmarkStart w:id="34" w:name="_Toc92299132"/>
      <w:bookmarkStart w:id="35" w:name="_Toc92299173"/>
      <w:bookmarkStart w:id="36" w:name="_Toc92299288"/>
      <w:bookmarkStart w:id="37" w:name="_Toc92299432"/>
      <w:bookmarkStart w:id="38" w:name="_Toc92299473"/>
      <w:bookmarkStart w:id="39" w:name="_Toc418595698"/>
      <w:bookmarkStart w:id="40" w:name="_Toc430277560"/>
      <w:r w:rsidRPr="005A484A">
        <w:rPr>
          <w:szCs w:val="18"/>
        </w:rPr>
        <w:t>1.1.1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Statistikens ändamål</w:t>
      </w:r>
      <w:bookmarkEnd w:id="27"/>
      <w:bookmarkEnd w:id="28"/>
      <w:bookmarkEnd w:id="29"/>
      <w:bookmarkEnd w:id="30"/>
    </w:p>
    <w:p w14:paraId="0834E9E8" w14:textId="77777777" w:rsidR="006F464A" w:rsidRDefault="006F464A" w:rsidP="006F464A">
      <w:r>
        <w:t xml:space="preserve">Den månadsvisa </w:t>
      </w:r>
      <w:bookmarkStart w:id="41" w:name="_Hlk97718908"/>
      <w:r>
        <w:t xml:space="preserve">konjunkturlönestatistiken </w:t>
      </w:r>
      <w:bookmarkEnd w:id="41"/>
      <w:r>
        <w:t xml:space="preserve">är en del av den officiella lönestatistiken och </w:t>
      </w:r>
      <w:r w:rsidR="008D578C">
        <w:t>huvudsyftet är att mäta</w:t>
      </w:r>
      <w:r>
        <w:t xml:space="preserve"> löneökningstakten i </w:t>
      </w:r>
      <w:r w:rsidR="0055140C">
        <w:t>ekonomin</w:t>
      </w:r>
      <w:r w:rsidR="003018DA">
        <w:t>.</w:t>
      </w:r>
      <w:r>
        <w:t xml:space="preserve"> </w:t>
      </w:r>
    </w:p>
    <w:p w14:paraId="70FE16AF" w14:textId="77777777" w:rsidR="00AA2F45" w:rsidRPr="00AA2F45" w:rsidRDefault="00346EBE" w:rsidP="00AA2F45">
      <w:r>
        <w:t>Löneökningstakten</w:t>
      </w:r>
      <w:r w:rsidR="009B1300">
        <w:t xml:space="preserve"> i kommunerna</w:t>
      </w:r>
      <w:r>
        <w:t xml:space="preserve"> mäts med</w:t>
      </w:r>
      <w:r w:rsidR="004820C8">
        <w:t xml:space="preserve"> </w:t>
      </w:r>
      <w:r>
        <w:t xml:space="preserve">hjälp av genomsnittlig månadslön. </w:t>
      </w:r>
      <w:r w:rsidR="008D578C">
        <w:t>Undersökningen belys</w:t>
      </w:r>
      <w:r w:rsidR="003E2ADB">
        <w:t>er</w:t>
      </w:r>
      <w:r w:rsidR="0055140C">
        <w:t xml:space="preserve"> även </w:t>
      </w:r>
      <w:r>
        <w:t xml:space="preserve">utvecklingen av arbetade timmar </w:t>
      </w:r>
      <w:r w:rsidR="006F01FC">
        <w:t>och antal anställda</w:t>
      </w:r>
      <w:r w:rsidR="00A72993">
        <w:t>.</w:t>
      </w:r>
      <w:r w:rsidR="006F01FC">
        <w:t xml:space="preserve">  </w:t>
      </w:r>
    </w:p>
    <w:p w14:paraId="5EB93A9F" w14:textId="77777777" w:rsidR="00F7495F" w:rsidRPr="005A484A" w:rsidRDefault="00765AD6" w:rsidP="0077704B">
      <w:pPr>
        <w:pStyle w:val="Rubrik3"/>
        <w:spacing w:before="240" w:after="40"/>
        <w:ind w:left="680" w:hanging="680"/>
        <w:rPr>
          <w:szCs w:val="18"/>
        </w:rPr>
      </w:pPr>
      <w:bookmarkStart w:id="42" w:name="_Toc467250856"/>
      <w:bookmarkStart w:id="43" w:name="_Toc467251688"/>
      <w:bookmarkStart w:id="44" w:name="_Toc467482225"/>
      <w:bookmarkStart w:id="45" w:name="_Toc67643732"/>
      <w:r w:rsidRPr="005A484A">
        <w:rPr>
          <w:szCs w:val="18"/>
        </w:rPr>
        <w:t>1.1.2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Statistikanvändares informationsbehov</w:t>
      </w:r>
      <w:bookmarkEnd w:id="42"/>
      <w:bookmarkEnd w:id="43"/>
      <w:bookmarkEnd w:id="44"/>
      <w:bookmarkEnd w:id="45"/>
    </w:p>
    <w:p w14:paraId="030ADA21" w14:textId="4302E80C" w:rsidR="00533741" w:rsidRDefault="00533741" w:rsidP="00AA2F45">
      <w:r>
        <w:t>Statistiken används främst som underlag för ekonomisk analys</w:t>
      </w:r>
      <w:r w:rsidR="00BD4E13">
        <w:t xml:space="preserve"> av löneutveckling, </w:t>
      </w:r>
      <w:r w:rsidR="00F13C41">
        <w:t>konjunkturbedömningar</w:t>
      </w:r>
      <w:r w:rsidR="00BD4E13">
        <w:t xml:space="preserve"> och beräkning av arbetsinsats. Viktiga användare </w:t>
      </w:r>
      <w:r w:rsidR="00F62E24">
        <w:t>av</w:t>
      </w:r>
      <w:r w:rsidR="00F62E24" w:rsidRPr="00F62E24">
        <w:t xml:space="preserve"> </w:t>
      </w:r>
      <w:r w:rsidR="00F62E24">
        <w:t>konjunkturlönestatistiken</w:t>
      </w:r>
      <w:r w:rsidR="00C8780B">
        <w:t>:</w:t>
      </w:r>
    </w:p>
    <w:p w14:paraId="525EDAD6" w14:textId="032E26B4" w:rsidR="007C2F7A" w:rsidRDefault="00346EBE" w:rsidP="00C8780B">
      <w:pPr>
        <w:pStyle w:val="Liststycke"/>
        <w:numPr>
          <w:ilvl w:val="0"/>
          <w:numId w:val="10"/>
        </w:numPr>
      </w:pPr>
      <w:r w:rsidRPr="00C8780B">
        <w:rPr>
          <w:u w:val="single"/>
        </w:rPr>
        <w:t>Medlingsinstit</w:t>
      </w:r>
      <w:r w:rsidR="0055140C" w:rsidRPr="00C8780B">
        <w:rPr>
          <w:u w:val="single"/>
        </w:rPr>
        <w:t>u</w:t>
      </w:r>
      <w:r w:rsidRPr="00C8780B">
        <w:rPr>
          <w:u w:val="single"/>
        </w:rPr>
        <w:t>tet</w:t>
      </w:r>
      <w:r w:rsidR="00C8780B" w:rsidRPr="00C8780B">
        <w:t xml:space="preserve"> </w:t>
      </w:r>
      <w:r w:rsidR="00BD4E13">
        <w:t xml:space="preserve">har som </w:t>
      </w:r>
      <w:r>
        <w:t>en av sina huvudupp</w:t>
      </w:r>
      <w:r w:rsidR="0055140C">
        <w:t>gifter att verka för en väl fung</w:t>
      </w:r>
      <w:r>
        <w:t>er</w:t>
      </w:r>
      <w:r w:rsidR="0055140C">
        <w:t>a</w:t>
      </w:r>
      <w:r w:rsidR="00B247CF">
        <w:t>n</w:t>
      </w:r>
      <w:r>
        <w:t>de lönebildning</w:t>
      </w:r>
      <w:r w:rsidR="00861189">
        <w:t>,</w:t>
      </w:r>
      <w:r w:rsidR="007C2F7A">
        <w:t xml:space="preserve"> </w:t>
      </w:r>
      <w:r w:rsidR="00B247CF">
        <w:t>vilken</w:t>
      </w:r>
      <w:r w:rsidR="0055140C">
        <w:t xml:space="preserve"> bygger på att den internationellt konkurre</w:t>
      </w:r>
      <w:r w:rsidR="00C8780B">
        <w:t>nsutsatta sektorn är normerande. Det</w:t>
      </w:r>
      <w:r w:rsidR="0055140C">
        <w:t xml:space="preserve"> betyder att </w:t>
      </w:r>
      <w:proofErr w:type="spellStart"/>
      <w:r w:rsidR="0055140C">
        <w:t>löneök</w:t>
      </w:r>
      <w:r w:rsidR="006D5329">
        <w:t>-</w:t>
      </w:r>
      <w:r w:rsidR="0055140C">
        <w:t>nings</w:t>
      </w:r>
      <w:r w:rsidR="00F62E24">
        <w:softHyphen/>
      </w:r>
      <w:r w:rsidR="0055140C">
        <w:t>takten</w:t>
      </w:r>
      <w:proofErr w:type="spellEnd"/>
      <w:r w:rsidR="0055140C">
        <w:t xml:space="preserve"> inom industrin ska vara norm för den övriga arbetsmarknaden och att löneökningstakten anpassas till våra viktigaste konkurrentländer. Information</w:t>
      </w:r>
      <w:r w:rsidR="00B247CF">
        <w:t>en</w:t>
      </w:r>
      <w:r w:rsidR="0055140C">
        <w:t xml:space="preserve"> från konjunkturlöne</w:t>
      </w:r>
      <w:r w:rsidR="00F62E24">
        <w:softHyphen/>
      </w:r>
      <w:r w:rsidR="0055140C">
        <w:t>under</w:t>
      </w:r>
      <w:r w:rsidR="00F62E24">
        <w:softHyphen/>
      </w:r>
      <w:r w:rsidR="0055140C">
        <w:t xml:space="preserve">sökningarna är en viktig källa för </w:t>
      </w:r>
      <w:r w:rsidR="00B247CF">
        <w:t>en väl fungerande lönebildning</w:t>
      </w:r>
      <w:r w:rsidR="0055140C">
        <w:t xml:space="preserve">.   </w:t>
      </w:r>
    </w:p>
    <w:p w14:paraId="1BFE1C16" w14:textId="57AE1ED9" w:rsidR="00533741" w:rsidRDefault="00F13C41" w:rsidP="007C2F7A">
      <w:pPr>
        <w:pStyle w:val="Liststycke"/>
        <w:numPr>
          <w:ilvl w:val="0"/>
          <w:numId w:val="6"/>
        </w:numPr>
      </w:pPr>
      <w:r w:rsidRPr="002C752F">
        <w:rPr>
          <w:u w:val="single"/>
        </w:rPr>
        <w:t>Konjunkturinstitutet</w:t>
      </w:r>
      <w:r w:rsidR="00C8780B" w:rsidRPr="002C752F">
        <w:t xml:space="preserve"> </w:t>
      </w:r>
      <w:r>
        <w:t>använder konjunkturlönestatistiken som ett av underlagen vid rapporter om konjunkturläget och vid prognoser.</w:t>
      </w:r>
      <w:r w:rsidR="00533741">
        <w:t xml:space="preserve"> </w:t>
      </w:r>
    </w:p>
    <w:p w14:paraId="7E884863" w14:textId="7AE4C4DB" w:rsidR="00346EBE" w:rsidRDefault="007C2F7A" w:rsidP="002C752F">
      <w:pPr>
        <w:pStyle w:val="Liststycke"/>
        <w:numPr>
          <w:ilvl w:val="0"/>
          <w:numId w:val="11"/>
        </w:numPr>
      </w:pPr>
      <w:r w:rsidRPr="002C752F">
        <w:rPr>
          <w:u w:val="single"/>
        </w:rPr>
        <w:t>Riksbanken</w:t>
      </w:r>
      <w:r w:rsidR="002C752F">
        <w:t xml:space="preserve"> använder den månatliga konjunkturlönestatistiken som bas för sina</w:t>
      </w:r>
      <w:r>
        <w:t xml:space="preserve"> löpande prognoser </w:t>
      </w:r>
      <w:r w:rsidR="00B247CF">
        <w:t>av</w:t>
      </w:r>
      <w:r>
        <w:t xml:space="preserve"> löneutvecklingen i den svenska ekonomin. </w:t>
      </w:r>
    </w:p>
    <w:p w14:paraId="4D4DFA58" w14:textId="72654435" w:rsidR="00F369A2" w:rsidRPr="002C752F" w:rsidRDefault="00F369A2" w:rsidP="002C752F">
      <w:pPr>
        <w:pStyle w:val="Liststycke"/>
        <w:numPr>
          <w:ilvl w:val="0"/>
          <w:numId w:val="12"/>
        </w:numPr>
        <w:rPr>
          <w:u w:val="single"/>
        </w:rPr>
      </w:pPr>
      <w:r w:rsidRPr="002C752F">
        <w:rPr>
          <w:u w:val="single"/>
        </w:rPr>
        <w:t>SCB:s</w:t>
      </w:r>
      <w:r w:rsidR="002C752F">
        <w:rPr>
          <w:u w:val="single"/>
        </w:rPr>
        <w:t xml:space="preserve"> enhet för Nationalräkenskaper</w:t>
      </w:r>
      <w:r w:rsidR="002C752F" w:rsidRPr="00C11C40">
        <w:t xml:space="preserve"> </w:t>
      </w:r>
      <w:r w:rsidR="002C752F" w:rsidRPr="00DB2073">
        <w:t>använder</w:t>
      </w:r>
      <w:r w:rsidR="002C752F" w:rsidRPr="007C51C8">
        <w:t xml:space="preserve"> arbetade</w:t>
      </w:r>
      <w:r w:rsidR="002C752F" w:rsidRPr="00F369A2">
        <w:t xml:space="preserve"> timm</w:t>
      </w:r>
      <w:r w:rsidR="002C752F">
        <w:t xml:space="preserve">ar och antal </w:t>
      </w:r>
      <w:r w:rsidR="00DB2073">
        <w:t>ans</w:t>
      </w:r>
      <w:r w:rsidR="009E3E0E">
        <w:t>t</w:t>
      </w:r>
      <w:r w:rsidR="00DB2073">
        <w:t xml:space="preserve">ällda för </w:t>
      </w:r>
      <w:r w:rsidR="002C752F">
        <w:t>beräkning av</w:t>
      </w:r>
      <w:r w:rsidR="002C752F" w:rsidRPr="00F369A2">
        <w:t xml:space="preserve"> arbetsinsatsen (arbetade timmar och antal sysselsatta) i Nationalräkenskaperna. Vidare används arbetade timmar i fastprisberäkningarna av pro</w:t>
      </w:r>
      <w:r w:rsidR="009E6860">
        <w:t xml:space="preserve">duktionsvärdet </w:t>
      </w:r>
      <w:r w:rsidR="00B247CF">
        <w:t>vilket</w:t>
      </w:r>
      <w:r w:rsidR="009E6860">
        <w:t xml:space="preserve"> är en viktig</w:t>
      </w:r>
      <w:r w:rsidR="002C752F" w:rsidRPr="00F369A2">
        <w:t xml:space="preserve"> del i både konsumtions- och produktionsberäkningarna</w:t>
      </w:r>
      <w:r w:rsidR="00B247CF">
        <w:t>.</w:t>
      </w:r>
    </w:p>
    <w:p w14:paraId="4389EFE3" w14:textId="77777777" w:rsidR="00AA2F45" w:rsidRPr="00AA2F45" w:rsidRDefault="00533741" w:rsidP="00AA2F45">
      <w:r w:rsidRPr="00BB28F3">
        <w:t>Konjunkturstatistik, löner för kommuner</w:t>
      </w:r>
      <w:r>
        <w:t xml:space="preserve"> ger även tillsammans med </w:t>
      </w:r>
      <w:r w:rsidR="00D90F85">
        <w:t xml:space="preserve">konsumentprisindex </w:t>
      </w:r>
      <w:r>
        <w:t>(</w:t>
      </w:r>
      <w:r w:rsidR="00D90F85">
        <w:t>KPI</w:t>
      </w:r>
      <w:r>
        <w:t>) underlag för löneförhandlingar</w:t>
      </w:r>
      <w:r w:rsidR="00BA79E2">
        <w:t>.</w:t>
      </w:r>
    </w:p>
    <w:p w14:paraId="1DC4C337" w14:textId="77777777" w:rsidR="002D7622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46" w:name="_Toc467250857"/>
      <w:bookmarkStart w:id="47" w:name="_Toc467251689"/>
      <w:bookmarkStart w:id="48" w:name="_Toc467482226"/>
      <w:bookmarkStart w:id="49" w:name="_Toc67643733"/>
      <w:r w:rsidRPr="005A484A">
        <w:rPr>
          <w:szCs w:val="20"/>
        </w:rPr>
        <w:t>1.2</w:t>
      </w:r>
      <w:r w:rsidRPr="005A484A">
        <w:rPr>
          <w:szCs w:val="20"/>
        </w:rPr>
        <w:tab/>
      </w:r>
      <w:r w:rsidR="00FC1132" w:rsidRPr="005A484A">
        <w:rPr>
          <w:szCs w:val="20"/>
        </w:rPr>
        <w:t>Statistikens innehåll</w:t>
      </w:r>
      <w:bookmarkEnd w:id="31"/>
      <w:bookmarkEnd w:id="46"/>
      <w:bookmarkEnd w:id="47"/>
      <w:bookmarkEnd w:id="48"/>
      <w:bookmarkEnd w:id="49"/>
    </w:p>
    <w:p w14:paraId="2081D01A" w14:textId="77777777" w:rsidR="00AA2F45" w:rsidRPr="00AA2F45" w:rsidRDefault="00A92B72" w:rsidP="00AA2F45">
      <w:r>
        <w:t>De stat</w:t>
      </w:r>
      <w:r w:rsidR="00E50E48">
        <w:t>istiska målstorheter</w:t>
      </w:r>
      <w:r w:rsidR="00C227EB">
        <w:t>na</w:t>
      </w:r>
      <w:r w:rsidR="00E50E48">
        <w:t xml:space="preserve"> </w:t>
      </w:r>
      <w:r w:rsidR="002C115C">
        <w:t>är g</w:t>
      </w:r>
      <w:r>
        <w:t>enomsnittlig månadslön</w:t>
      </w:r>
      <w:r w:rsidR="002C115C">
        <w:t>,</w:t>
      </w:r>
      <w:r>
        <w:t xml:space="preserve"> arbetade timmar</w:t>
      </w:r>
      <w:r w:rsidR="005923AE">
        <w:t xml:space="preserve"> och antal</w:t>
      </w:r>
      <w:r w:rsidR="002C115C">
        <w:t xml:space="preserve"> anställda.</w:t>
      </w:r>
    </w:p>
    <w:p w14:paraId="2F1934FC" w14:textId="77777777" w:rsidR="00765AD6" w:rsidRPr="005A484A" w:rsidRDefault="00765AD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0" w:name="_Toc457985731"/>
      <w:bookmarkStart w:id="51" w:name="_Toc458005264"/>
      <w:bookmarkStart w:id="52" w:name="_Toc467255598"/>
      <w:bookmarkStart w:id="53" w:name="_Toc467482227"/>
      <w:bookmarkStart w:id="54" w:name="_Toc67643734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5A484A">
        <w:rPr>
          <w:szCs w:val="18"/>
        </w:rPr>
        <w:t>1.2.1</w:t>
      </w:r>
      <w:r w:rsidRPr="005A484A">
        <w:rPr>
          <w:szCs w:val="18"/>
        </w:rPr>
        <w:tab/>
        <w:t>Objekt och population</w:t>
      </w:r>
      <w:bookmarkEnd w:id="50"/>
      <w:bookmarkEnd w:id="51"/>
      <w:bookmarkEnd w:id="52"/>
      <w:bookmarkEnd w:id="53"/>
      <w:bookmarkEnd w:id="54"/>
    </w:p>
    <w:p w14:paraId="75128295" w14:textId="1EF1EE27" w:rsidR="003E7FE4" w:rsidRDefault="00B00FC1" w:rsidP="00AA2F45">
      <w:r w:rsidRPr="00B00FC1">
        <w:t>Målpopulationen</w:t>
      </w:r>
      <w:r w:rsidR="00773E42">
        <w:t xml:space="preserve"> </w:t>
      </w:r>
      <w:r w:rsidRPr="00B00FC1">
        <w:t>omfattar samtliga anställda inom Sveriges 290 kommuner</w:t>
      </w:r>
      <w:r w:rsidR="00F62E24">
        <w:t xml:space="preserve"> </w:t>
      </w:r>
      <w:r w:rsidRPr="00B00FC1">
        <w:t xml:space="preserve">som följer kollektivavtalet Allmänna Bestämmelser (AB). </w:t>
      </w:r>
      <w:r w:rsidR="004C3202">
        <w:t xml:space="preserve">Den sammanfaller med intressepopulationen </w:t>
      </w:r>
      <w:r w:rsidR="00B13036">
        <w:t>med</w:t>
      </w:r>
      <w:r w:rsidR="004C3202" w:rsidRPr="00B00FC1">
        <w:t xml:space="preserve"> </w:t>
      </w:r>
      <w:r w:rsidR="004C3202">
        <w:t xml:space="preserve">undantag för </w:t>
      </w:r>
      <w:r w:rsidR="003A650F">
        <w:t xml:space="preserve">Region </w:t>
      </w:r>
      <w:r w:rsidR="004C3202">
        <w:t>Gotland</w:t>
      </w:r>
      <w:r w:rsidR="004B5A42">
        <w:t>,</w:t>
      </w:r>
      <w:r w:rsidR="003211CC">
        <w:t xml:space="preserve"> som ansvarar för både kommun</w:t>
      </w:r>
      <w:r w:rsidR="003A650F">
        <w:t>ala</w:t>
      </w:r>
      <w:r w:rsidR="003211CC">
        <w:t xml:space="preserve"> och region</w:t>
      </w:r>
      <w:r w:rsidR="003A650F">
        <w:t xml:space="preserve">ala </w:t>
      </w:r>
      <w:r w:rsidR="003211CC">
        <w:t>uppgifter</w:t>
      </w:r>
      <w:r w:rsidR="00AC5AD3">
        <w:t>.</w:t>
      </w:r>
      <w:r w:rsidR="00DC380C">
        <w:t xml:space="preserve"> </w:t>
      </w:r>
      <w:r w:rsidR="00AC5AD3">
        <w:t xml:space="preserve">Hela Region Gotland </w:t>
      </w:r>
      <w:r w:rsidR="00E847B2">
        <w:t>ingår i kommunstatistiken. Anställda i kommunägda stiftelser och bolag ingår inte, d</w:t>
      </w:r>
      <w:r w:rsidR="00DC380C">
        <w:t>ärför att</w:t>
      </w:r>
      <w:r w:rsidR="00E847B2">
        <w:t xml:space="preserve"> de räknas till den privata sektorn.</w:t>
      </w:r>
    </w:p>
    <w:p w14:paraId="62288291" w14:textId="47092004" w:rsidR="00795208" w:rsidRPr="00AA2F45" w:rsidRDefault="00795208" w:rsidP="00AA2F45">
      <w:r>
        <w:lastRenderedPageBreak/>
        <w:t xml:space="preserve">Observationsobjekt är </w:t>
      </w:r>
      <w:r w:rsidR="00B349BD">
        <w:t>anställningar.</w:t>
      </w:r>
      <w:r>
        <w:t xml:space="preserve"> </w:t>
      </w:r>
      <w:r w:rsidR="00B349BD">
        <w:t>M</w:t>
      </w:r>
      <w:r>
        <w:t>ålobjekt</w:t>
      </w:r>
      <w:r w:rsidR="00773E42">
        <w:t xml:space="preserve"> och intresseobjekt</w:t>
      </w:r>
      <w:r w:rsidR="00B349BD">
        <w:t xml:space="preserve"> </w:t>
      </w:r>
      <w:r>
        <w:t>ä</w:t>
      </w:r>
      <w:r w:rsidR="00B349BD">
        <w:t>r</w:t>
      </w:r>
      <w:r>
        <w:t xml:space="preserve"> </w:t>
      </w:r>
      <w:r w:rsidR="00B349BD">
        <w:t>person</w:t>
      </w:r>
      <w:r>
        <w:t xml:space="preserve">er. </w:t>
      </w:r>
      <w:r w:rsidR="00B349BD">
        <w:t xml:space="preserve">Uppgiftskälla </w:t>
      </w:r>
      <w:r w:rsidR="005C02F7">
        <w:t>är kommuner.</w:t>
      </w:r>
    </w:p>
    <w:p w14:paraId="4725D901" w14:textId="77777777" w:rsidR="00561468" w:rsidRPr="005A484A" w:rsidRDefault="00FA5E96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55" w:name="_Toc418595700"/>
      <w:bookmarkStart w:id="56" w:name="_Toc430277562"/>
      <w:bookmarkStart w:id="57" w:name="_Toc449949579"/>
      <w:bookmarkStart w:id="58" w:name="_Toc467250859"/>
      <w:bookmarkStart w:id="59" w:name="_Toc467251691"/>
      <w:bookmarkStart w:id="60" w:name="_Toc467482228"/>
      <w:bookmarkStart w:id="61" w:name="_Toc67643735"/>
      <w:r w:rsidRPr="005A484A">
        <w:rPr>
          <w:szCs w:val="18"/>
        </w:rPr>
        <w:t>1.2.2</w:t>
      </w:r>
      <w:r w:rsidRPr="005A484A">
        <w:rPr>
          <w:szCs w:val="18"/>
        </w:rPr>
        <w:tab/>
      </w:r>
      <w:r w:rsidR="00FC1132" w:rsidRPr="005A484A">
        <w:rPr>
          <w:szCs w:val="18"/>
        </w:rPr>
        <w:t>Variabler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1202DD86" w14:textId="4B535639" w:rsidR="00445F5B" w:rsidRDefault="00445F5B" w:rsidP="00981986">
      <w:r w:rsidRPr="00445F5B">
        <w:t>De viktigaste målvariablerna</w:t>
      </w:r>
      <w:r w:rsidR="00B349BD">
        <w:t xml:space="preserve"> (intressevariablerna)</w:t>
      </w:r>
      <w:r w:rsidRPr="00445F5B">
        <w:t xml:space="preserve"> är</w:t>
      </w:r>
      <w:r w:rsidR="00FA0FC7">
        <w:t>:</w:t>
      </w:r>
    </w:p>
    <w:p w14:paraId="12F90F36" w14:textId="77777777" w:rsidR="00981986" w:rsidRDefault="00981986" w:rsidP="00DA7F7D">
      <w:pPr>
        <w:pStyle w:val="Liststycke"/>
        <w:numPr>
          <w:ilvl w:val="0"/>
          <w:numId w:val="7"/>
        </w:numPr>
      </w:pPr>
      <w:r w:rsidRPr="00445F5B">
        <w:t>Teoretisk lönesumma</w:t>
      </w:r>
    </w:p>
    <w:p w14:paraId="77C94090" w14:textId="77777777" w:rsidR="00445F5B" w:rsidRDefault="00445F5B" w:rsidP="00DA7F7D">
      <w:pPr>
        <w:pStyle w:val="Liststycke"/>
        <w:numPr>
          <w:ilvl w:val="0"/>
          <w:numId w:val="7"/>
        </w:numPr>
      </w:pPr>
      <w:r>
        <w:t>Antal årsarbetare</w:t>
      </w:r>
    </w:p>
    <w:p w14:paraId="7EBECC1F" w14:textId="77777777" w:rsidR="00445F5B" w:rsidRDefault="00445F5B" w:rsidP="00DA7F7D">
      <w:pPr>
        <w:pStyle w:val="Liststycke"/>
        <w:numPr>
          <w:ilvl w:val="0"/>
          <w:numId w:val="7"/>
        </w:numPr>
      </w:pPr>
      <w:r>
        <w:t>Arbetade timmar</w:t>
      </w:r>
    </w:p>
    <w:p w14:paraId="78A9AC2E" w14:textId="77777777" w:rsidR="00445F5B" w:rsidRPr="00445F5B" w:rsidRDefault="00DA7F7D" w:rsidP="00DA7F7D">
      <w:pPr>
        <w:pStyle w:val="Liststycke"/>
        <w:numPr>
          <w:ilvl w:val="0"/>
          <w:numId w:val="7"/>
        </w:numPr>
      </w:pPr>
      <w:r>
        <w:t>Antal anställda</w:t>
      </w:r>
    </w:p>
    <w:p w14:paraId="203F68B5" w14:textId="77777777" w:rsidR="00981986" w:rsidRDefault="00DA7F7D" w:rsidP="00981986">
      <w:r w:rsidRPr="00DA7F7D">
        <w:rPr>
          <w:u w:val="single"/>
        </w:rPr>
        <w:t>Teoretisk lönesumma</w:t>
      </w:r>
      <w:r w:rsidRPr="001047D1">
        <w:t xml:space="preserve"> är</w:t>
      </w:r>
      <w:r w:rsidR="00981986">
        <w:t xml:space="preserve"> </w:t>
      </w:r>
      <w:r>
        <w:t xml:space="preserve">för </w:t>
      </w:r>
      <w:r w:rsidR="00981986" w:rsidRPr="00DA7F7D">
        <w:t xml:space="preserve">månadsavlönade </w:t>
      </w:r>
      <w:r w:rsidR="00981986">
        <w:t>summan av överenskommen fast kontant lön, inklusive fasta t</w:t>
      </w:r>
      <w:r>
        <w:t>illägg.</w:t>
      </w:r>
      <w:r w:rsidR="00981986">
        <w:t xml:space="preserve"> Rörliga tillägg</w:t>
      </w:r>
      <w:r w:rsidR="007333C7" w:rsidRPr="007333C7">
        <w:t xml:space="preserve"> </w:t>
      </w:r>
      <w:r w:rsidR="007333C7">
        <w:t>ingår inte i den teoretiska lönesumman</w:t>
      </w:r>
      <w:r w:rsidR="00981986">
        <w:t xml:space="preserve"> </w:t>
      </w:r>
      <w:proofErr w:type="gramStart"/>
      <w:r w:rsidR="00981986">
        <w:t>t.ex.</w:t>
      </w:r>
      <w:proofErr w:type="gramEnd"/>
      <w:r w:rsidR="00981986">
        <w:t xml:space="preserve"> ersättning för obekväm arbetstid, övertid, jour och beredskap.</w:t>
      </w:r>
    </w:p>
    <w:p w14:paraId="3BA0B54E" w14:textId="34D0EE09" w:rsidR="00DA7F7D" w:rsidRDefault="00DA7F7D" w:rsidP="00DA7F7D">
      <w:r w:rsidRPr="00DA7F7D">
        <w:rPr>
          <w:u w:val="single"/>
        </w:rPr>
        <w:t>Antal årsarbetare</w:t>
      </w:r>
      <w:r w:rsidRPr="00DA7F7D">
        <w:t xml:space="preserve"> </w:t>
      </w:r>
      <w:r w:rsidR="002A3CF4">
        <w:t>redovisas</w:t>
      </w:r>
      <w:r w:rsidRPr="00DA7F7D">
        <w:t xml:space="preserve"> </w:t>
      </w:r>
      <w:r>
        <w:t>för månadsavlönad</w:t>
      </w:r>
      <w:r w:rsidR="007333C7">
        <w:t>e</w:t>
      </w:r>
      <w:r>
        <w:t xml:space="preserve"> </w:t>
      </w:r>
      <w:r w:rsidR="007333C7">
        <w:t xml:space="preserve">enligt </w:t>
      </w:r>
      <w:r>
        <w:t>överenskommen sysselsättningsgrad.</w:t>
      </w:r>
      <w:r w:rsidR="00DC0690">
        <w:t xml:space="preserve"> </w:t>
      </w:r>
      <w:r w:rsidRPr="00F66900">
        <w:t xml:space="preserve">En anställd </w:t>
      </w:r>
      <w:r w:rsidR="00434D2E" w:rsidRPr="00F66900">
        <w:t>med</w:t>
      </w:r>
      <w:r w:rsidRPr="00F66900">
        <w:t xml:space="preserve"> överenskommen sysselsättningsgrad 30 % och en </w:t>
      </w:r>
      <w:r w:rsidR="00434D2E" w:rsidRPr="00F66900">
        <w:t>med</w:t>
      </w:r>
      <w:r w:rsidRPr="00F66900">
        <w:t xml:space="preserve"> 70 % utgör tillsammans en årsarbetare.</w:t>
      </w:r>
      <w:r>
        <w:t xml:space="preserve"> </w:t>
      </w:r>
    </w:p>
    <w:p w14:paraId="1F584B1A" w14:textId="77777777" w:rsidR="00BC3959" w:rsidRDefault="00BC3959" w:rsidP="00BC3959">
      <w:r w:rsidRPr="00BC3959">
        <w:rPr>
          <w:u w:val="single"/>
        </w:rPr>
        <w:t>Arbetade timmar</w:t>
      </w:r>
      <w:r>
        <w:t xml:space="preserve"> är faktiskt arbetad tid.</w:t>
      </w:r>
    </w:p>
    <w:p w14:paraId="1945EF27" w14:textId="3F35E7B1" w:rsidR="00AA2F45" w:rsidRDefault="002A3CF4" w:rsidP="00AA2F45">
      <w:r w:rsidRPr="002A3CF4">
        <w:rPr>
          <w:u w:val="single"/>
        </w:rPr>
        <w:t>Antal anställda</w:t>
      </w:r>
      <w:r>
        <w:rPr>
          <w:i/>
        </w:rPr>
        <w:t xml:space="preserve"> </w:t>
      </w:r>
      <w:r>
        <w:t xml:space="preserve">utgörs av samtliga kommunanställda </w:t>
      </w:r>
      <w:r w:rsidR="004516B4">
        <w:t>i målpopulationen</w:t>
      </w:r>
      <w:r w:rsidR="004516B4" w:rsidRPr="00857494">
        <w:t xml:space="preserve"> </w:t>
      </w:r>
      <w:r>
        <w:t>som följer kollektivavtalet Allmänna Bestämmelser.</w:t>
      </w:r>
    </w:p>
    <w:p w14:paraId="2AF46251" w14:textId="5B88E829" w:rsidR="001D0474" w:rsidRPr="00D04236" w:rsidRDefault="00B349BD" w:rsidP="00AA2F45">
      <w:pPr>
        <w:rPr>
          <w:i/>
        </w:rPr>
      </w:pPr>
      <w:r>
        <w:t xml:space="preserve">Målvariablerna </w:t>
      </w:r>
      <w:r w:rsidR="001D0474">
        <w:t xml:space="preserve">är desamma som </w:t>
      </w:r>
      <w:r>
        <w:t xml:space="preserve">intresse- </w:t>
      </w:r>
      <w:r w:rsidR="00F04295">
        <w:t xml:space="preserve">och </w:t>
      </w:r>
      <w:r>
        <w:t>observationsvariablerna.</w:t>
      </w:r>
    </w:p>
    <w:p w14:paraId="7C6C8B46" w14:textId="77777777" w:rsidR="00FC1132" w:rsidRPr="005A484A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2" w:name="_Toc467250860"/>
      <w:bookmarkStart w:id="63" w:name="_Toc467251692"/>
      <w:bookmarkStart w:id="64" w:name="_Toc467482229"/>
      <w:bookmarkStart w:id="65" w:name="_Toc67643736"/>
      <w:r w:rsidRPr="005A484A">
        <w:rPr>
          <w:szCs w:val="18"/>
        </w:rPr>
        <w:t>1.2.3</w:t>
      </w:r>
      <w:r w:rsidRPr="005A484A">
        <w:rPr>
          <w:szCs w:val="18"/>
        </w:rPr>
        <w:tab/>
      </w:r>
      <w:r w:rsidR="00FC1132" w:rsidRPr="005A484A">
        <w:rPr>
          <w:szCs w:val="18"/>
        </w:rPr>
        <w:t>Statistiska mått</w:t>
      </w:r>
      <w:bookmarkEnd w:id="62"/>
      <w:bookmarkEnd w:id="63"/>
      <w:bookmarkEnd w:id="64"/>
      <w:bookmarkEnd w:id="65"/>
    </w:p>
    <w:p w14:paraId="6B27F211" w14:textId="77777777" w:rsidR="00AA2F45" w:rsidRPr="00AA2F45" w:rsidRDefault="007253D8" w:rsidP="00AA2F45">
      <w:r>
        <w:t xml:space="preserve">De statistiska måtten är antal, summa och medelvärde. </w:t>
      </w:r>
    </w:p>
    <w:p w14:paraId="767E56E8" w14:textId="77777777" w:rsidR="00FC1132" w:rsidRDefault="007C346C" w:rsidP="0077704B">
      <w:pPr>
        <w:pStyle w:val="Rubrik3"/>
        <w:overflowPunct w:val="0"/>
        <w:autoSpaceDE w:val="0"/>
        <w:autoSpaceDN w:val="0"/>
        <w:adjustRightInd w:val="0"/>
        <w:spacing w:before="240" w:after="40"/>
        <w:ind w:left="680" w:hanging="680"/>
        <w:textAlignment w:val="baseline"/>
        <w:rPr>
          <w:szCs w:val="18"/>
        </w:rPr>
      </w:pPr>
      <w:bookmarkStart w:id="66" w:name="_Toc467250861"/>
      <w:bookmarkStart w:id="67" w:name="_Toc467251693"/>
      <w:bookmarkStart w:id="68" w:name="_Toc467482230"/>
      <w:bookmarkStart w:id="69" w:name="_Toc67643737"/>
      <w:r w:rsidRPr="005A484A">
        <w:rPr>
          <w:szCs w:val="18"/>
        </w:rPr>
        <w:t>1.2.4</w:t>
      </w:r>
      <w:r w:rsidRPr="005A484A">
        <w:rPr>
          <w:szCs w:val="18"/>
        </w:rPr>
        <w:tab/>
      </w:r>
      <w:r w:rsidR="00FC1132" w:rsidRPr="005A484A">
        <w:rPr>
          <w:szCs w:val="18"/>
        </w:rPr>
        <w:t>Redovisningsgrupper</w:t>
      </w:r>
      <w:bookmarkEnd w:id="66"/>
      <w:bookmarkEnd w:id="67"/>
      <w:bookmarkEnd w:id="68"/>
      <w:bookmarkEnd w:id="69"/>
    </w:p>
    <w:p w14:paraId="67D8EF4D" w14:textId="77777777" w:rsidR="00DC0690" w:rsidRDefault="00DC0690" w:rsidP="00DC0690">
      <w:r>
        <w:t>Statistiken redovisas</w:t>
      </w:r>
      <w:r w:rsidR="00230A3E">
        <w:t xml:space="preserve"> </w:t>
      </w:r>
      <w:r>
        <w:t>enligt:</w:t>
      </w:r>
    </w:p>
    <w:p w14:paraId="086141E8" w14:textId="77777777" w:rsidR="00DC0690" w:rsidRDefault="00FC2601" w:rsidP="007F155D">
      <w:pPr>
        <w:pStyle w:val="Liststycke"/>
        <w:numPr>
          <w:ilvl w:val="0"/>
          <w:numId w:val="8"/>
        </w:numPr>
      </w:pPr>
      <w:r>
        <w:t>Total g</w:t>
      </w:r>
      <w:r w:rsidR="00DC0690">
        <w:t>enomsnittlig månadslön för månadsa</w:t>
      </w:r>
      <w:r w:rsidR="006B0456">
        <w:t>v</w:t>
      </w:r>
      <w:r w:rsidR="008A3A11">
        <w:t>l</w:t>
      </w:r>
      <w:r w:rsidR="006B0456">
        <w:t>öna</w:t>
      </w:r>
      <w:r w:rsidR="008A3A11">
        <w:t>d</w:t>
      </w:r>
      <w:r w:rsidR="006B0456">
        <w:t>e</w:t>
      </w:r>
      <w:r w:rsidR="008A3A11">
        <w:t xml:space="preserve"> i kommuner</w:t>
      </w:r>
      <w:r w:rsidR="00DC0690">
        <w:t>.</w:t>
      </w:r>
    </w:p>
    <w:p w14:paraId="162A0819" w14:textId="52955F7A" w:rsidR="007F155D" w:rsidRDefault="00FC2601" w:rsidP="007F155D">
      <w:pPr>
        <w:pStyle w:val="Liststycke"/>
        <w:numPr>
          <w:ilvl w:val="0"/>
          <w:numId w:val="8"/>
        </w:numPr>
      </w:pPr>
      <w:r>
        <w:t>Totalt a</w:t>
      </w:r>
      <w:r w:rsidR="00F04295">
        <w:t xml:space="preserve">ntal anställda, månadsavlönade, </w:t>
      </w:r>
      <w:r w:rsidR="008A3A11">
        <w:t>i kommuner</w:t>
      </w:r>
      <w:r w:rsidR="001F2E76">
        <w:t xml:space="preserve"> uppdelat på </w:t>
      </w:r>
      <w:r w:rsidR="006B0456">
        <w:t>h</w:t>
      </w:r>
      <w:r w:rsidR="001F2E76">
        <w:t>el-</w:t>
      </w:r>
      <w:r w:rsidR="006B0456">
        <w:t xml:space="preserve"> och d</w:t>
      </w:r>
      <w:r w:rsidR="001F2E76">
        <w:t>el</w:t>
      </w:r>
      <w:r w:rsidR="007F155D">
        <w:t>tidsanställda.</w:t>
      </w:r>
    </w:p>
    <w:p w14:paraId="65855E01" w14:textId="77777777" w:rsidR="00DC0690" w:rsidRPr="00A037B5" w:rsidRDefault="00FC2601" w:rsidP="00DC0690">
      <w:pPr>
        <w:pStyle w:val="Liststycke"/>
        <w:numPr>
          <w:ilvl w:val="0"/>
          <w:numId w:val="8"/>
        </w:numPr>
      </w:pPr>
      <w:r>
        <w:t>Totalt a</w:t>
      </w:r>
      <w:r w:rsidR="007F155D">
        <w:t>ntal arbetad</w:t>
      </w:r>
      <w:r w:rsidR="008A3A11">
        <w:t>e timmar</w:t>
      </w:r>
      <w:r w:rsidR="006B0456">
        <w:t xml:space="preserve"> för anställda</w:t>
      </w:r>
      <w:r w:rsidR="008A3A11">
        <w:t xml:space="preserve"> i kommuner</w:t>
      </w:r>
      <w:r w:rsidR="007F155D">
        <w:t xml:space="preserve"> uppdelat på månadsavlönade och timavlönade</w:t>
      </w:r>
      <w:r w:rsidR="006B0456">
        <w:t>.</w:t>
      </w:r>
    </w:p>
    <w:p w14:paraId="48742BAC" w14:textId="77777777" w:rsidR="00FC1132" w:rsidRDefault="007C346C" w:rsidP="0077704B">
      <w:pPr>
        <w:pStyle w:val="Rubrik3"/>
        <w:spacing w:before="240" w:after="40"/>
        <w:ind w:left="680" w:hanging="680"/>
        <w:rPr>
          <w:szCs w:val="18"/>
        </w:rPr>
      </w:pPr>
      <w:bookmarkStart w:id="70" w:name="_Toc467250862"/>
      <w:bookmarkStart w:id="71" w:name="_Toc467251694"/>
      <w:bookmarkStart w:id="72" w:name="_Toc467482231"/>
      <w:bookmarkStart w:id="73" w:name="_Toc67643738"/>
      <w:r w:rsidRPr="005A484A">
        <w:rPr>
          <w:szCs w:val="18"/>
        </w:rPr>
        <w:t>1.2.5</w:t>
      </w:r>
      <w:r w:rsidRPr="005A484A">
        <w:rPr>
          <w:szCs w:val="18"/>
        </w:rPr>
        <w:tab/>
      </w:r>
      <w:r w:rsidR="00FC1132" w:rsidRPr="005A484A">
        <w:rPr>
          <w:szCs w:val="18"/>
        </w:rPr>
        <w:t>Referenstider</w:t>
      </w:r>
      <w:bookmarkEnd w:id="70"/>
      <w:bookmarkEnd w:id="71"/>
      <w:bookmarkEnd w:id="72"/>
      <w:bookmarkEnd w:id="73"/>
    </w:p>
    <w:p w14:paraId="2BBC4120" w14:textId="77777777" w:rsidR="006D1C01" w:rsidRDefault="00A52AB6" w:rsidP="00A52AB6">
      <w:r>
        <w:t>Både populationen och variablernas referenstid är månad.</w:t>
      </w:r>
    </w:p>
    <w:p w14:paraId="701B21B8" w14:textId="77777777" w:rsidR="006D1C01" w:rsidRDefault="006D1C01">
      <w:pPr>
        <w:spacing w:after="200" w:line="276" w:lineRule="auto"/>
      </w:pPr>
      <w:r>
        <w:br w:type="page"/>
      </w:r>
    </w:p>
    <w:p w14:paraId="5BE9796B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74" w:name="_Toc467250863"/>
      <w:bookmarkStart w:id="75" w:name="_Toc467251695"/>
      <w:bookmarkStart w:id="76" w:name="_Toc467482232"/>
      <w:bookmarkStart w:id="77" w:name="_Toc67643739"/>
      <w:bookmarkEnd w:id="10"/>
      <w:r w:rsidRPr="00FF0CB7">
        <w:rPr>
          <w:sz w:val="24"/>
          <w:szCs w:val="24"/>
        </w:rPr>
        <w:lastRenderedPageBreak/>
        <w:t>2</w:t>
      </w:r>
      <w:r w:rsidRPr="00FF0CB7">
        <w:rPr>
          <w:sz w:val="24"/>
          <w:szCs w:val="24"/>
        </w:rPr>
        <w:tab/>
        <w:t>Tillförlitlighet</w:t>
      </w:r>
      <w:bookmarkEnd w:id="74"/>
      <w:bookmarkEnd w:id="75"/>
      <w:bookmarkEnd w:id="76"/>
      <w:bookmarkEnd w:id="77"/>
    </w:p>
    <w:p w14:paraId="26E3D52A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2"/>
        </w:rPr>
      </w:pPr>
      <w:bookmarkStart w:id="78" w:name="_Toc92287716"/>
      <w:bookmarkStart w:id="79" w:name="_Toc92298976"/>
      <w:bookmarkStart w:id="80" w:name="_Toc92299131"/>
      <w:bookmarkStart w:id="81" w:name="_Toc92299172"/>
      <w:bookmarkStart w:id="82" w:name="_Toc92299287"/>
      <w:bookmarkStart w:id="83" w:name="_Toc92299431"/>
      <w:bookmarkStart w:id="84" w:name="_Toc92299472"/>
      <w:bookmarkStart w:id="85" w:name="_Toc418595697"/>
      <w:bookmarkStart w:id="86" w:name="_Toc430277559"/>
      <w:bookmarkStart w:id="87" w:name="_Toc449949576"/>
      <w:bookmarkStart w:id="88" w:name="_Toc467250864"/>
      <w:bookmarkStart w:id="89" w:name="_Toc467251696"/>
      <w:bookmarkStart w:id="90" w:name="_Toc467482233"/>
      <w:bookmarkStart w:id="91" w:name="_Toc67643740"/>
      <w:r w:rsidRPr="005A484A">
        <w:rPr>
          <w:szCs w:val="22"/>
        </w:rPr>
        <w:t>2.1</w:t>
      </w:r>
      <w:r w:rsidRPr="005A484A">
        <w:rPr>
          <w:szCs w:val="22"/>
        </w:rPr>
        <w:tab/>
        <w:t xml:space="preserve">Tillförlitlighet </w:t>
      </w:r>
      <w:bookmarkEnd w:id="78"/>
      <w:bookmarkEnd w:id="79"/>
      <w:bookmarkEnd w:id="80"/>
      <w:bookmarkEnd w:id="81"/>
      <w:bookmarkEnd w:id="82"/>
      <w:bookmarkEnd w:id="83"/>
      <w:bookmarkEnd w:id="84"/>
      <w:r w:rsidRPr="005A484A">
        <w:rPr>
          <w:szCs w:val="22"/>
        </w:rPr>
        <w:t>totalt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0D757731" w14:textId="161F13E0" w:rsidR="00164238" w:rsidRPr="00AA2F45" w:rsidRDefault="00835E30" w:rsidP="00164238">
      <w:r>
        <w:t>Statistiken baseras på uppgifter från kommunernas lönesystem.</w:t>
      </w:r>
      <w:r w:rsidR="00164238" w:rsidRPr="00164238">
        <w:t xml:space="preserve"> </w:t>
      </w:r>
      <w:r w:rsidR="00164238">
        <w:t>Alla kommuner undersöks, risk för över</w:t>
      </w:r>
      <w:r w:rsidR="00974B2F">
        <w:t>-</w:t>
      </w:r>
      <w:r w:rsidR="00164238">
        <w:t xml:space="preserve"> och </w:t>
      </w:r>
      <w:proofErr w:type="spellStart"/>
      <w:r w:rsidR="00164238">
        <w:t>undertäckning</w:t>
      </w:r>
      <w:proofErr w:type="spellEnd"/>
      <w:r w:rsidR="00164238">
        <w:t xml:space="preserve"> bedöms som låg. </w:t>
      </w:r>
      <w:r w:rsidR="00164238" w:rsidRPr="00BA0C12">
        <w:t>Bortfall förekomm</w:t>
      </w:r>
      <w:r w:rsidR="00C5695A" w:rsidRPr="00BA0C12">
        <w:t>er fram för allt vid byte av lönesystem.</w:t>
      </w:r>
      <w:r w:rsidR="00C5695A">
        <w:t xml:space="preserve"> </w:t>
      </w:r>
      <w:proofErr w:type="spellStart"/>
      <w:r w:rsidR="00164238">
        <w:t>Imputering</w:t>
      </w:r>
      <w:proofErr w:type="spellEnd"/>
      <w:r w:rsidR="00164238">
        <w:t xml:space="preserve"> sker för att kompensera bortfallet. Tillförlitligheten i </w:t>
      </w:r>
      <w:r w:rsidR="00F446F9">
        <w:t>undersök</w:t>
      </w:r>
      <w:r w:rsidR="00F446F9">
        <w:softHyphen/>
        <w:t xml:space="preserve">ningens </w:t>
      </w:r>
      <w:r w:rsidR="00164238">
        <w:t>resultat anses god.</w:t>
      </w:r>
    </w:p>
    <w:p w14:paraId="6E6A387D" w14:textId="77777777" w:rsidR="00FA5E96" w:rsidRDefault="00582C96" w:rsidP="0077704B">
      <w:pPr>
        <w:pStyle w:val="Rubrik2"/>
        <w:spacing w:before="240" w:after="40"/>
        <w:ind w:left="680" w:hanging="680"/>
        <w:rPr>
          <w:szCs w:val="20"/>
        </w:rPr>
      </w:pPr>
      <w:bookmarkStart w:id="92" w:name="_Toc467250865"/>
      <w:bookmarkStart w:id="93" w:name="_Toc467251697"/>
      <w:bookmarkStart w:id="94" w:name="_Toc467482234"/>
      <w:bookmarkStart w:id="95" w:name="_Toc67643741"/>
      <w:r w:rsidRPr="005A484A">
        <w:rPr>
          <w:szCs w:val="20"/>
        </w:rPr>
        <w:t>2</w:t>
      </w:r>
      <w:r w:rsidR="00FA5E96" w:rsidRPr="005A484A">
        <w:rPr>
          <w:szCs w:val="20"/>
        </w:rPr>
        <w:t>.2</w:t>
      </w:r>
      <w:r w:rsidR="00FA5E96" w:rsidRPr="005A484A">
        <w:rPr>
          <w:szCs w:val="20"/>
        </w:rPr>
        <w:tab/>
        <w:t>Osäkerhetskällor</w:t>
      </w:r>
      <w:bookmarkEnd w:id="92"/>
      <w:bookmarkEnd w:id="93"/>
      <w:bookmarkEnd w:id="94"/>
      <w:bookmarkEnd w:id="95"/>
    </w:p>
    <w:p w14:paraId="7C05FB42" w14:textId="77777777" w:rsidR="009D1418" w:rsidRPr="009D1418" w:rsidRDefault="009D1418" w:rsidP="009D1418">
      <w:r>
        <w:t>Osäkerheten bedöms generellt som låg för osäkerhetskällorna. Inga studier h</w:t>
      </w:r>
      <w:r w:rsidR="00316A9B">
        <w:t>ar gjort</w:t>
      </w:r>
      <w:r w:rsidR="006B0456">
        <w:t>s</w:t>
      </w:r>
      <w:r w:rsidR="00316A9B">
        <w:t xml:space="preserve"> för att kvantifiera de</w:t>
      </w:r>
      <w:r w:rsidR="0036369F">
        <w:t>ssa</w:t>
      </w:r>
      <w:r w:rsidR="00316A9B">
        <w:t xml:space="preserve"> utöver</w:t>
      </w:r>
      <w:r w:rsidR="0036369F">
        <w:t xml:space="preserve"> uppmätt </w:t>
      </w:r>
      <w:r w:rsidR="00316A9B">
        <w:t>bortfall</w:t>
      </w:r>
      <w:r>
        <w:t>.</w:t>
      </w:r>
    </w:p>
    <w:p w14:paraId="0C8509E4" w14:textId="77777777" w:rsidR="00FA5E96" w:rsidRPr="00406035" w:rsidRDefault="00FA5E96" w:rsidP="00406035">
      <w:pPr>
        <w:pStyle w:val="Rubrik3"/>
        <w:spacing w:before="240" w:after="40"/>
        <w:ind w:left="680" w:hanging="680"/>
        <w:rPr>
          <w:szCs w:val="18"/>
        </w:rPr>
      </w:pPr>
      <w:bookmarkStart w:id="96" w:name="_Toc418595699"/>
      <w:bookmarkStart w:id="97" w:name="_Toc430277561"/>
      <w:bookmarkStart w:id="98" w:name="_Toc449949578"/>
      <w:bookmarkStart w:id="99" w:name="_Toc467250866"/>
      <w:bookmarkStart w:id="100" w:name="_Toc467251698"/>
      <w:bookmarkStart w:id="101" w:name="_Toc67643742"/>
      <w:r w:rsidRPr="00406035">
        <w:rPr>
          <w:szCs w:val="18"/>
        </w:rPr>
        <w:t>2.2.1</w:t>
      </w:r>
      <w:r w:rsidRPr="00406035">
        <w:rPr>
          <w:szCs w:val="18"/>
        </w:rPr>
        <w:tab/>
        <w:t>Ur</w:t>
      </w:r>
      <w:r w:rsidRPr="00406035">
        <w:rPr>
          <w:b w:val="0"/>
          <w:bCs w:val="0"/>
        </w:rPr>
        <w:t>v</w:t>
      </w:r>
      <w:r w:rsidRPr="00406035">
        <w:rPr>
          <w:szCs w:val="18"/>
        </w:rPr>
        <w:t>al</w:t>
      </w:r>
      <w:bookmarkEnd w:id="96"/>
      <w:bookmarkEnd w:id="97"/>
      <w:bookmarkEnd w:id="98"/>
      <w:bookmarkEnd w:id="99"/>
      <w:bookmarkEnd w:id="100"/>
      <w:bookmarkEnd w:id="101"/>
    </w:p>
    <w:p w14:paraId="66D92D7E" w14:textId="08AFC772" w:rsidR="00FE640C" w:rsidRPr="00FE640C" w:rsidRDefault="00505AC3" w:rsidP="00FE640C">
      <w:r>
        <w:t>Konjunkturstatistik</w:t>
      </w:r>
      <w:r w:rsidR="007A1BBE">
        <w:t>, löner</w:t>
      </w:r>
      <w:r>
        <w:t xml:space="preserve"> för kommuner är en totalundersökning</w:t>
      </w:r>
      <w:r w:rsidR="005D4099">
        <w:t xml:space="preserve"> f</w:t>
      </w:r>
      <w:r w:rsidR="009E1E1B">
        <w:t xml:space="preserve">ör alla </w:t>
      </w:r>
      <w:r w:rsidR="005D4099">
        <w:t>objekt</w:t>
      </w:r>
      <w:r w:rsidR="009E1E1B">
        <w:t xml:space="preserve"> som undersökningen ska gälla</w:t>
      </w:r>
      <w:r w:rsidR="005D4099">
        <w:t>.</w:t>
      </w:r>
    </w:p>
    <w:p w14:paraId="34B3276C" w14:textId="77777777" w:rsidR="00FA5E96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2" w:name="_Toc467250867"/>
      <w:bookmarkStart w:id="103" w:name="_Toc467251699"/>
      <w:bookmarkStart w:id="104" w:name="_Toc467482235"/>
      <w:bookmarkStart w:id="105" w:name="_Toc67643743"/>
      <w:r w:rsidRPr="005A484A">
        <w:rPr>
          <w:szCs w:val="18"/>
        </w:rPr>
        <w:t>2.2.2</w:t>
      </w:r>
      <w:r w:rsidRPr="005A484A">
        <w:rPr>
          <w:szCs w:val="18"/>
        </w:rPr>
        <w:tab/>
        <w:t>Ramtäckning</w:t>
      </w:r>
      <w:bookmarkEnd w:id="102"/>
      <w:bookmarkEnd w:id="103"/>
      <w:bookmarkEnd w:id="104"/>
      <w:bookmarkEnd w:id="105"/>
    </w:p>
    <w:p w14:paraId="57FC1C3F" w14:textId="0A02FD0D" w:rsidR="0090636E" w:rsidRPr="0090636E" w:rsidRDefault="0090636E" w:rsidP="0090636E">
      <w:r>
        <w:t>Ram</w:t>
      </w:r>
      <w:r w:rsidR="002A3EAC">
        <w:t>- och mål</w:t>
      </w:r>
      <w:r>
        <w:t>population är</w:t>
      </w:r>
      <w:r w:rsidR="002A3EAC">
        <w:t xml:space="preserve"> personer,</w:t>
      </w:r>
      <w:r>
        <w:t xml:space="preserve"> anställ</w:t>
      </w:r>
      <w:r w:rsidR="002A3EAC">
        <w:t>d</w:t>
      </w:r>
      <w:r>
        <w:t>a</w:t>
      </w:r>
      <w:r w:rsidR="002A3EAC">
        <w:t xml:space="preserve"> (observationsobjekt),</w:t>
      </w:r>
      <w:r>
        <w:t xml:space="preserve"> </w:t>
      </w:r>
      <w:r w:rsidR="002A3EAC">
        <w:t xml:space="preserve">vid mättillfället </w:t>
      </w:r>
      <w:r>
        <w:t>registrerade i respektive kommuns lönesystem.</w:t>
      </w:r>
    </w:p>
    <w:p w14:paraId="7DD477B2" w14:textId="2BC7BA1D" w:rsidR="00FC4F0B" w:rsidRDefault="00FC4F0B" w:rsidP="00FC4F0B">
      <w:pPr>
        <w:rPr>
          <w:noProof/>
        </w:rPr>
      </w:pPr>
      <w:r>
        <w:rPr>
          <w:noProof/>
        </w:rPr>
        <w:t xml:space="preserve">Viss övertäckning kan förekomma avseende timanställda som slutat och inte </w:t>
      </w:r>
      <w:r w:rsidR="006B0456">
        <w:rPr>
          <w:noProof/>
        </w:rPr>
        <w:t>tagits bort</w:t>
      </w:r>
      <w:r>
        <w:rPr>
          <w:noProof/>
        </w:rPr>
        <w:t xml:space="preserve"> ur lönesystemen samt anställda som slutat och får retroaktiv lön i efterhand. Ingen känd övertäckning förekommer.</w:t>
      </w:r>
    </w:p>
    <w:p w14:paraId="2FCF9996" w14:textId="77777777" w:rsidR="008D6224" w:rsidRDefault="008D6224" w:rsidP="008D6224">
      <w:pPr>
        <w:rPr>
          <w:noProof/>
        </w:rPr>
      </w:pPr>
      <w:r w:rsidRPr="00017C83">
        <w:rPr>
          <w:noProof/>
        </w:rPr>
        <w:t>Underttäckning</w:t>
      </w:r>
      <w:r>
        <w:rPr>
          <w:noProof/>
        </w:rPr>
        <w:t xml:space="preserve"> </w:t>
      </w:r>
      <w:r w:rsidRPr="00017C83">
        <w:rPr>
          <w:noProof/>
        </w:rPr>
        <w:t>utgörs av nyanställda som inte registrera</w:t>
      </w:r>
      <w:r>
        <w:rPr>
          <w:noProof/>
        </w:rPr>
        <w:t>ts</w:t>
      </w:r>
      <w:r w:rsidRPr="00017C83">
        <w:rPr>
          <w:noProof/>
        </w:rPr>
        <w:t xml:space="preserve"> i löne</w:t>
      </w:r>
      <w:r>
        <w:rPr>
          <w:noProof/>
        </w:rPr>
        <w:t>systemen</w:t>
      </w:r>
      <w:r w:rsidRPr="00017C83">
        <w:rPr>
          <w:noProof/>
        </w:rPr>
        <w:t>. Undertäckningsobjekt går inte att identifiera</w:t>
      </w:r>
      <w:r>
        <w:rPr>
          <w:noProof/>
        </w:rPr>
        <w:t>.</w:t>
      </w:r>
      <w:r w:rsidRPr="00017C83">
        <w:rPr>
          <w:noProof/>
        </w:rPr>
        <w:t xml:space="preserve"> </w:t>
      </w:r>
    </w:p>
    <w:p w14:paraId="4DA67791" w14:textId="77777777" w:rsidR="00B21DD3" w:rsidRPr="00AA2F45" w:rsidRDefault="00B21DD3" w:rsidP="00AA2F45">
      <w:r w:rsidRPr="00FB101B">
        <w:rPr>
          <w:noProof/>
        </w:rPr>
        <w:t>Osäkerheten p.g.a. täckningsfel bedöms som låg.</w:t>
      </w:r>
    </w:p>
    <w:p w14:paraId="0645CFBE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06" w:name="_Toc418595701"/>
      <w:bookmarkStart w:id="107" w:name="_Toc430277563"/>
      <w:bookmarkStart w:id="108" w:name="_Toc449949580"/>
      <w:bookmarkStart w:id="109" w:name="_Toc467250868"/>
      <w:bookmarkStart w:id="110" w:name="_Toc467251700"/>
      <w:bookmarkStart w:id="111" w:name="_Toc467482236"/>
      <w:bookmarkStart w:id="112" w:name="_Toc67643744"/>
      <w:r w:rsidRPr="005A484A">
        <w:rPr>
          <w:szCs w:val="18"/>
        </w:rPr>
        <w:t>2.2.3</w:t>
      </w:r>
      <w:r w:rsidRPr="005A484A">
        <w:rPr>
          <w:szCs w:val="18"/>
        </w:rPr>
        <w:tab/>
        <w:t>Mätning</w:t>
      </w:r>
      <w:bookmarkEnd w:id="106"/>
      <w:bookmarkEnd w:id="107"/>
      <w:bookmarkEnd w:id="108"/>
      <w:bookmarkEnd w:id="109"/>
      <w:bookmarkEnd w:id="110"/>
      <w:bookmarkEnd w:id="111"/>
      <w:bookmarkEnd w:id="112"/>
    </w:p>
    <w:p w14:paraId="3F3F6C3D" w14:textId="029F54F7" w:rsidR="00AA2F45" w:rsidRDefault="00520E00" w:rsidP="00AA2F45">
      <w:r w:rsidRPr="0048264A">
        <w:t>Underlaget till statistiken samlas in via</w:t>
      </w:r>
      <w:r w:rsidR="00DD3885">
        <w:t xml:space="preserve"> SCB:s</w:t>
      </w:r>
      <w:r w:rsidRPr="0048264A">
        <w:t xml:space="preserve"> </w:t>
      </w:r>
      <w:r w:rsidR="0048264A" w:rsidRPr="0048264A">
        <w:t>webinsamlingssystem.</w:t>
      </w:r>
      <w:r w:rsidR="0048264A">
        <w:t xml:space="preserve"> </w:t>
      </w:r>
      <w:r w:rsidR="002A3EAC">
        <w:t>U</w:t>
      </w:r>
      <w:r w:rsidR="0048264A">
        <w:t>ppgifts</w:t>
      </w:r>
      <w:r w:rsidR="002A3EAC">
        <w:softHyphen/>
      </w:r>
      <w:r w:rsidR="0048264A">
        <w:t xml:space="preserve">lämnarna </w:t>
      </w:r>
      <w:r w:rsidR="002A3EAC">
        <w:t xml:space="preserve">kan </w:t>
      </w:r>
      <w:r w:rsidR="0048264A">
        <w:t>välj</w:t>
      </w:r>
      <w:r w:rsidR="002A3EAC">
        <w:t>a</w:t>
      </w:r>
      <w:r w:rsidR="0048264A">
        <w:t xml:space="preserve"> att </w:t>
      </w:r>
      <w:r w:rsidR="006F5F57" w:rsidRPr="001B46C7">
        <w:t>skicka en fil</w:t>
      </w:r>
      <w:r w:rsidR="006F5F57">
        <w:t xml:space="preserve"> </w:t>
      </w:r>
      <w:r w:rsidR="0048264A" w:rsidRPr="0048264A">
        <w:t>eller</w:t>
      </w:r>
      <w:r w:rsidR="006F5F57" w:rsidRPr="006F5F57">
        <w:t xml:space="preserve"> </w:t>
      </w:r>
      <w:r w:rsidR="006F5F57">
        <w:t xml:space="preserve">fylla i </w:t>
      </w:r>
      <w:r w:rsidR="006F5F57" w:rsidRPr="0048264A">
        <w:t xml:space="preserve">en </w:t>
      </w:r>
      <w:r w:rsidR="006F5F57">
        <w:t>web</w:t>
      </w:r>
      <w:r w:rsidR="006F5F57" w:rsidRPr="0048264A">
        <w:t>blankett</w:t>
      </w:r>
      <w:r w:rsidR="001B46C7" w:rsidRPr="001B46C7">
        <w:t>.</w:t>
      </w:r>
      <w:r w:rsidR="00DA1D1F">
        <w:t xml:space="preserve"> </w:t>
      </w:r>
      <w:r w:rsidR="001B46C7" w:rsidRPr="00EF1FFD">
        <w:t>Majorite</w:t>
      </w:r>
      <w:r w:rsidR="00F81AAF">
        <w:t>te</w:t>
      </w:r>
      <w:r w:rsidR="001B46C7" w:rsidRPr="00EF1FFD">
        <w:t>n lämnar sina uppgifter via fil</w:t>
      </w:r>
      <w:r w:rsidR="00EF1FFD" w:rsidRPr="00EF1FFD">
        <w:t xml:space="preserve"> från </w:t>
      </w:r>
      <w:r w:rsidR="00D905B3">
        <w:t>resp. kommuns</w:t>
      </w:r>
      <w:r w:rsidR="00EF1FFD" w:rsidRPr="00EF1FFD">
        <w:t xml:space="preserve"> lönesystem</w:t>
      </w:r>
      <w:r w:rsidR="001B46C7" w:rsidRPr="00EF1FFD">
        <w:t xml:space="preserve">. </w:t>
      </w:r>
      <w:r w:rsidR="005B4C57">
        <w:t xml:space="preserve">Eftersom </w:t>
      </w:r>
      <w:r w:rsidR="003779D0">
        <w:t>uppgifterna hämtas från lönesystemen bedöms tillförlitligheten vara god.</w:t>
      </w:r>
    </w:p>
    <w:p w14:paraId="0584A915" w14:textId="27BA6C28" w:rsidR="00A0521B" w:rsidRDefault="00A0521B" w:rsidP="00A0521B">
      <w:r>
        <w:t>Vid nya löneavtal visar erfarenheten att det</w:t>
      </w:r>
      <w:r w:rsidR="00A13D07">
        <w:t xml:space="preserve"> ibland</w:t>
      </w:r>
      <w:r>
        <w:t xml:space="preserve"> för samma månad </w:t>
      </w:r>
      <w:r w:rsidR="00CD7AB4">
        <w:t>dels</w:t>
      </w:r>
      <w:r>
        <w:t xml:space="preserve"> </w:t>
      </w:r>
      <w:r w:rsidR="00A13D07">
        <w:t xml:space="preserve">kan </w:t>
      </w:r>
      <w:r>
        <w:t>lämnas uppgift om ny lön</w:t>
      </w:r>
      <w:r w:rsidR="00CD7AB4">
        <w:t>,</w:t>
      </w:r>
      <w:r>
        <w:t xml:space="preserve"> </w:t>
      </w:r>
      <w:r w:rsidR="00CD7AB4">
        <w:t>dels</w:t>
      </w:r>
      <w:r>
        <w:t xml:space="preserve"> betalas ut retroaktiv lön. Om den retroaktiva lönen läggs till lönesumman räknas löneökningen dubbelt. Vid misstanke om dubbelräkning justeras lönenivån,</w:t>
      </w:r>
      <w:r w:rsidRPr="006D3E37">
        <w:t xml:space="preserve"> </w:t>
      </w:r>
      <w:r>
        <w:t xml:space="preserve">med en manuell </w:t>
      </w:r>
      <w:proofErr w:type="spellStart"/>
      <w:r>
        <w:t>imputering</w:t>
      </w:r>
      <w:proofErr w:type="spellEnd"/>
      <w:r>
        <w:t xml:space="preserve"> till rimlig nivå, efter kontroll med uppgiftslämnaren.</w:t>
      </w:r>
    </w:p>
    <w:p w14:paraId="3C6A7D60" w14:textId="780EB347" w:rsidR="00BD33EE" w:rsidRDefault="00BD33EE" w:rsidP="001A064F">
      <w:r>
        <w:t>Systematiska mätfel bedöms vara få och därför inga justeringar för eventuella mätfel.</w:t>
      </w:r>
    </w:p>
    <w:p w14:paraId="435A59C9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13" w:name="_Toc418595702"/>
      <w:bookmarkStart w:id="114" w:name="_Toc430277564"/>
      <w:bookmarkStart w:id="115" w:name="_Toc449949581"/>
      <w:bookmarkStart w:id="116" w:name="_Toc467250869"/>
      <w:bookmarkStart w:id="117" w:name="_Toc467251701"/>
      <w:bookmarkStart w:id="118" w:name="_Toc467482237"/>
      <w:bookmarkStart w:id="119" w:name="_Toc67643745"/>
      <w:r w:rsidRPr="005A484A">
        <w:rPr>
          <w:szCs w:val="18"/>
        </w:rPr>
        <w:t>2.2.4</w:t>
      </w:r>
      <w:r w:rsidRPr="005A484A">
        <w:rPr>
          <w:szCs w:val="18"/>
        </w:rPr>
        <w:tab/>
        <w:t>Bortfall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7C335BA4" w14:textId="416E005A" w:rsidR="00F00986" w:rsidRDefault="00F00986" w:rsidP="00F00986">
      <w:pPr>
        <w:rPr>
          <w:color w:val="000000"/>
        </w:rPr>
      </w:pPr>
      <w:r>
        <w:t>Bortfall utgörs av kommuner från vilka mätvärden saknas helt (</w:t>
      </w:r>
      <w:proofErr w:type="spellStart"/>
      <w:r>
        <w:t>objektsbort</w:t>
      </w:r>
      <w:proofErr w:type="spellEnd"/>
      <w:r w:rsidR="006D5329">
        <w:t>–</w:t>
      </w:r>
      <w:r>
        <w:t>fall) eller delvis (partiellt bortfall)</w:t>
      </w:r>
      <w:r>
        <w:rPr>
          <w:color w:val="000000"/>
        </w:rPr>
        <w:t xml:space="preserve">. </w:t>
      </w:r>
      <w:r w:rsidR="00780333" w:rsidRPr="00BA0C12">
        <w:rPr>
          <w:color w:val="000000"/>
        </w:rPr>
        <w:t>D</w:t>
      </w:r>
      <w:r w:rsidRPr="00BA0C12">
        <w:rPr>
          <w:color w:val="000000"/>
        </w:rPr>
        <w:t>e flesta</w:t>
      </w:r>
      <w:r w:rsidR="00780333" w:rsidRPr="00BA0C12">
        <w:rPr>
          <w:color w:val="000000"/>
        </w:rPr>
        <w:t xml:space="preserve"> fall av</w:t>
      </w:r>
      <w:r w:rsidRPr="00BA0C12">
        <w:rPr>
          <w:color w:val="000000"/>
        </w:rPr>
        <w:t xml:space="preserve"> bortfall </w:t>
      </w:r>
      <w:r w:rsidR="00780333" w:rsidRPr="00BA0C12">
        <w:rPr>
          <w:color w:val="000000"/>
        </w:rPr>
        <w:t>inträffar</w:t>
      </w:r>
      <w:r w:rsidRPr="00BA0C12">
        <w:rPr>
          <w:color w:val="000000"/>
        </w:rPr>
        <w:t xml:space="preserve"> vi</w:t>
      </w:r>
      <w:r w:rsidR="00780333" w:rsidRPr="00BA0C12">
        <w:rPr>
          <w:color w:val="000000"/>
        </w:rPr>
        <w:t>d</w:t>
      </w:r>
      <w:r w:rsidRPr="00BA0C12">
        <w:rPr>
          <w:color w:val="000000"/>
        </w:rPr>
        <w:t xml:space="preserve"> byte av lönesystem.</w:t>
      </w:r>
      <w:r w:rsidRPr="00365BCF">
        <w:rPr>
          <w:color w:val="000000"/>
        </w:rPr>
        <w:t xml:space="preserve"> Det partiella bortfallet </w:t>
      </w:r>
      <w:r>
        <w:rPr>
          <w:color w:val="000000"/>
        </w:rPr>
        <w:t>uppstår i samband med att</w:t>
      </w:r>
      <w:r w:rsidRPr="00365BCF">
        <w:rPr>
          <w:color w:val="000000"/>
        </w:rPr>
        <w:t xml:space="preserve"> någon uppgift bedöms vara </w:t>
      </w:r>
      <w:r w:rsidR="00334C24">
        <w:rPr>
          <w:color w:val="000000"/>
        </w:rPr>
        <w:t>felaktig.  U</w:t>
      </w:r>
      <w:r w:rsidRPr="00365BCF">
        <w:rPr>
          <w:color w:val="000000"/>
        </w:rPr>
        <w:t xml:space="preserve">ppgiftslämnaren </w:t>
      </w:r>
      <w:r w:rsidR="00BD1FFB">
        <w:rPr>
          <w:color w:val="000000"/>
        </w:rPr>
        <w:t>kontaktas</w:t>
      </w:r>
      <w:r w:rsidR="00334C24">
        <w:rPr>
          <w:color w:val="000000"/>
        </w:rPr>
        <w:t xml:space="preserve"> och om</w:t>
      </w:r>
      <w:r w:rsidR="00FE5015">
        <w:rPr>
          <w:color w:val="000000"/>
        </w:rPr>
        <w:t xml:space="preserve"> ingen rättning fås</w:t>
      </w:r>
      <w:r w:rsidRPr="00365BCF">
        <w:rPr>
          <w:color w:val="000000"/>
        </w:rPr>
        <w:t xml:space="preserve"> behandlas uppgiften som partiellt bortfall.</w:t>
      </w:r>
    </w:p>
    <w:p w14:paraId="594FAACC" w14:textId="77777777" w:rsidR="00F00986" w:rsidRDefault="00F00986" w:rsidP="00F00986">
      <w:pPr>
        <w:rPr>
          <w:color w:val="000000"/>
        </w:rPr>
      </w:pPr>
      <w:r>
        <w:rPr>
          <w:color w:val="000000"/>
        </w:rPr>
        <w:lastRenderedPageBreak/>
        <w:t xml:space="preserve">För kommuner som utgör bortfall </w:t>
      </w:r>
      <w:proofErr w:type="spellStart"/>
      <w:r>
        <w:rPr>
          <w:color w:val="000000"/>
        </w:rPr>
        <w:t>imputeras</w:t>
      </w:r>
      <w:proofErr w:type="spellEnd"/>
      <w:r>
        <w:rPr>
          <w:color w:val="000000"/>
        </w:rPr>
        <w:t xml:space="preserve"> uppgifter med hjälp av mätvärden från den årliga strukturstatistiken eller med hjälp av tidigare lämnade uppgifter.</w:t>
      </w:r>
    </w:p>
    <w:p w14:paraId="605836A3" w14:textId="7FE3F31B" w:rsidR="00CC69FB" w:rsidRPr="00AA2F45" w:rsidRDefault="00EB1E6C" w:rsidP="00CC69FB">
      <w:r w:rsidRPr="00F66900">
        <w:t xml:space="preserve">Under </w:t>
      </w:r>
      <w:r w:rsidR="00C3390B" w:rsidRPr="00F66900">
        <w:t>20</w:t>
      </w:r>
      <w:r w:rsidR="003D3258" w:rsidRPr="00F66900">
        <w:t>2</w:t>
      </w:r>
      <w:r w:rsidR="006D5329" w:rsidRPr="00F66900">
        <w:t>2</w:t>
      </w:r>
      <w:r w:rsidR="001E3661" w:rsidRPr="00F66900">
        <w:t xml:space="preserve"> </w:t>
      </w:r>
      <w:r w:rsidR="000865DF" w:rsidRPr="00F66900">
        <w:t>förekom</w:t>
      </w:r>
      <w:r w:rsidR="003D3258" w:rsidRPr="00F66900">
        <w:t xml:space="preserve"> </w:t>
      </w:r>
      <w:r w:rsidR="00780333" w:rsidRPr="00BA0C12">
        <w:t>12</w:t>
      </w:r>
      <w:r w:rsidRPr="00F66900">
        <w:t xml:space="preserve"> objektsbortfall</w:t>
      </w:r>
      <w:r w:rsidR="00552217" w:rsidRPr="00F66900">
        <w:t xml:space="preserve"> </w:t>
      </w:r>
      <w:r w:rsidR="000865DF" w:rsidRPr="00F66900">
        <w:t>under</w:t>
      </w:r>
      <w:r w:rsidR="00CC69FB" w:rsidRPr="00F66900">
        <w:t xml:space="preserve"> årets 12 </w:t>
      </w:r>
      <w:r w:rsidR="00CC69FB" w:rsidRPr="00F66900">
        <w:rPr>
          <w:color w:val="000000"/>
        </w:rPr>
        <w:t>undersöknings</w:t>
      </w:r>
      <w:r w:rsidR="00A0521B" w:rsidRPr="00F66900">
        <w:rPr>
          <w:color w:val="000000"/>
        </w:rPr>
        <w:softHyphen/>
      </w:r>
      <w:r w:rsidR="00CC69FB" w:rsidRPr="00F66900">
        <w:rPr>
          <w:color w:val="000000"/>
        </w:rPr>
        <w:t>omgångar</w:t>
      </w:r>
      <w:r w:rsidR="00A0521B" w:rsidRPr="00F66900">
        <w:rPr>
          <w:color w:val="000000"/>
        </w:rPr>
        <w:t xml:space="preserve"> och</w:t>
      </w:r>
      <w:r w:rsidR="00CC69FB" w:rsidRPr="00F66900">
        <w:rPr>
          <w:color w:val="000000"/>
        </w:rPr>
        <w:t xml:space="preserve"> </w:t>
      </w:r>
      <w:r w:rsidR="00A0521B" w:rsidRPr="00F66900">
        <w:rPr>
          <w:color w:val="000000"/>
        </w:rPr>
        <w:t>d</w:t>
      </w:r>
      <w:r w:rsidR="000865DF" w:rsidRPr="00F66900">
        <w:rPr>
          <w:color w:val="000000"/>
        </w:rPr>
        <w:t xml:space="preserve">et partiella bortfallet var </w:t>
      </w:r>
      <w:r w:rsidR="00B45ABF" w:rsidRPr="00BA0C12">
        <w:t>0,</w:t>
      </w:r>
      <w:r w:rsidR="00780333" w:rsidRPr="00BA0C12">
        <w:t>3</w:t>
      </w:r>
      <w:r w:rsidR="00B45ABF" w:rsidRPr="00F66900">
        <w:t xml:space="preserve"> </w:t>
      </w:r>
      <w:r w:rsidR="00CC69FB" w:rsidRPr="00F66900">
        <w:rPr>
          <w:color w:val="000000"/>
        </w:rPr>
        <w:t>procent</w:t>
      </w:r>
      <w:r w:rsidR="00CC69FB">
        <w:rPr>
          <w:color w:val="000000"/>
        </w:rPr>
        <w:t>.</w:t>
      </w:r>
      <w:r w:rsidR="005B2E89">
        <w:rPr>
          <w:color w:val="000000"/>
        </w:rPr>
        <w:t xml:space="preserve"> </w:t>
      </w:r>
      <w:r w:rsidR="00A0521B">
        <w:rPr>
          <w:color w:val="000000"/>
        </w:rPr>
        <w:t>B</w:t>
      </w:r>
      <w:r w:rsidR="00CC69FB">
        <w:t>ortfallet</w:t>
      </w:r>
      <w:r w:rsidR="00A0521B">
        <w:t xml:space="preserve"> är</w:t>
      </w:r>
      <w:r w:rsidR="00CC69FB">
        <w:t xml:space="preserve"> </w:t>
      </w:r>
      <w:r w:rsidR="00F419E4">
        <w:t xml:space="preserve">lågt </w:t>
      </w:r>
      <w:r w:rsidR="00CC69FB">
        <w:t xml:space="preserve">i undersökningen och </w:t>
      </w:r>
      <w:proofErr w:type="spellStart"/>
      <w:r w:rsidR="00CC69FB">
        <w:t>imputering</w:t>
      </w:r>
      <w:proofErr w:type="spellEnd"/>
      <w:r w:rsidR="00CC69FB">
        <w:t xml:space="preserve"> sker med en </w:t>
      </w:r>
      <w:r w:rsidR="00F419E4">
        <w:t>beprövad</w:t>
      </w:r>
      <w:r w:rsidR="00CC69FB">
        <w:t xml:space="preserve"> modell,</w:t>
      </w:r>
      <w:r w:rsidR="00F419E4">
        <w:t xml:space="preserve"> därför</w:t>
      </w:r>
      <w:r w:rsidR="00CC69FB">
        <w:t xml:space="preserve"> bedöms osäkerheten p.g.a. svarsbortfall som låg.</w:t>
      </w:r>
    </w:p>
    <w:p w14:paraId="333505F3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0" w:name="_Toc418595703"/>
      <w:bookmarkStart w:id="121" w:name="_Toc430277565"/>
      <w:bookmarkStart w:id="122" w:name="_Toc449949582"/>
      <w:bookmarkStart w:id="123" w:name="_Toc467250870"/>
      <w:bookmarkStart w:id="124" w:name="_Toc467251702"/>
      <w:bookmarkStart w:id="125" w:name="_Toc467482238"/>
      <w:bookmarkStart w:id="126" w:name="_Toc67643746"/>
      <w:r w:rsidRPr="005A484A">
        <w:rPr>
          <w:szCs w:val="18"/>
        </w:rPr>
        <w:t>2.2.5</w:t>
      </w:r>
      <w:r w:rsidRPr="005A484A">
        <w:rPr>
          <w:szCs w:val="18"/>
        </w:rPr>
        <w:tab/>
        <w:t>Bearbetning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143202FD" w14:textId="2F2024C8" w:rsidR="00420927" w:rsidRDefault="00420927" w:rsidP="00420927">
      <w:r>
        <w:t xml:space="preserve">Uppgiftslämnarna skickar in aggregerade uppgifter via fil </w:t>
      </w:r>
      <w:r w:rsidR="003D3258">
        <w:t>från</w:t>
      </w:r>
      <w:r>
        <w:t xml:space="preserve"> lön</w:t>
      </w:r>
      <w:r w:rsidR="003D3258">
        <w:t>esystemet eller som ifylld webblankett</w:t>
      </w:r>
      <w:r>
        <w:t xml:space="preserve">. </w:t>
      </w:r>
      <w:proofErr w:type="spellStart"/>
      <w:r>
        <w:t>Inkommet</w:t>
      </w:r>
      <w:proofErr w:type="spellEnd"/>
      <w:r>
        <w:t xml:space="preserve"> material genomgår en maskinell granskning</w:t>
      </w:r>
      <w:r w:rsidR="00B41961">
        <w:t>.</w:t>
      </w:r>
      <w:r>
        <w:t xml:space="preserve"> </w:t>
      </w:r>
      <w:r w:rsidR="00B41961" w:rsidRPr="00D40CE4">
        <w:t>Rimlighetskontroller av uppgifter genomförs i olika summeringar/bearbetningar samt i jämförelser av månadens resulta</w:t>
      </w:r>
      <w:r w:rsidR="00B41961">
        <w:t>t mot tidigare månader och år.</w:t>
      </w:r>
    </w:p>
    <w:p w14:paraId="5DA950DE" w14:textId="77777777" w:rsidR="00AA2F45" w:rsidRPr="00AA2F45" w:rsidRDefault="00420927" w:rsidP="00AA2F45">
      <w:r w:rsidRPr="00D40CE4">
        <w:t xml:space="preserve">Osäkerheten p.g.a. bearbetningsfel bedöms som låg. </w:t>
      </w:r>
    </w:p>
    <w:p w14:paraId="43902DE3" w14:textId="77777777" w:rsidR="00FA5E96" w:rsidRPr="005A484A" w:rsidRDefault="00FA5E96" w:rsidP="0077704B">
      <w:pPr>
        <w:pStyle w:val="Rubrik3"/>
        <w:spacing w:before="240" w:after="40"/>
        <w:ind w:left="680" w:hanging="680"/>
        <w:rPr>
          <w:szCs w:val="18"/>
        </w:rPr>
      </w:pPr>
      <w:bookmarkStart w:id="127" w:name="_Toc418595704"/>
      <w:bookmarkStart w:id="128" w:name="_Toc430277566"/>
      <w:bookmarkStart w:id="129" w:name="_Toc449949583"/>
      <w:bookmarkStart w:id="130" w:name="_Toc467250871"/>
      <w:bookmarkStart w:id="131" w:name="_Toc467251703"/>
      <w:bookmarkStart w:id="132" w:name="_Toc467482239"/>
      <w:bookmarkStart w:id="133" w:name="_Toc67643747"/>
      <w:r w:rsidRPr="005A484A">
        <w:rPr>
          <w:szCs w:val="18"/>
        </w:rPr>
        <w:t>2.2.6</w:t>
      </w:r>
      <w:r w:rsidRPr="005A484A">
        <w:rPr>
          <w:szCs w:val="18"/>
        </w:rPr>
        <w:tab/>
        <w:t>Modellantaganden</w:t>
      </w:r>
      <w:bookmarkEnd w:id="127"/>
      <w:bookmarkEnd w:id="128"/>
      <w:bookmarkEnd w:id="129"/>
      <w:bookmarkEnd w:id="130"/>
      <w:bookmarkEnd w:id="131"/>
      <w:bookmarkEnd w:id="132"/>
      <w:bookmarkEnd w:id="133"/>
    </w:p>
    <w:p w14:paraId="0D3D441F" w14:textId="4BA4ABFE" w:rsidR="002C0AE6" w:rsidRDefault="00B255AD" w:rsidP="002C0AE6">
      <w:pPr>
        <w:pStyle w:val="Sidfot"/>
        <w:tabs>
          <w:tab w:val="left" w:pos="851"/>
        </w:tabs>
        <w:rPr>
          <w:color w:val="000000"/>
        </w:rPr>
      </w:pPr>
      <w:r>
        <w:t>Vid objektsbor</w:t>
      </w:r>
      <w:r w:rsidR="003D3258">
        <w:t>t</w:t>
      </w:r>
      <w:r>
        <w:t xml:space="preserve">fall samt vid partiellt bortfall genomförs </w:t>
      </w:r>
      <w:proofErr w:type="spellStart"/>
      <w:r>
        <w:t>imputering</w:t>
      </w:r>
      <w:proofErr w:type="spellEnd"/>
      <w:r>
        <w:t xml:space="preserve"> </w:t>
      </w:r>
      <w:r w:rsidR="002C0AE6">
        <w:rPr>
          <w:color w:val="000000"/>
        </w:rPr>
        <w:t xml:space="preserve">med en </w:t>
      </w:r>
      <w:r w:rsidR="00093DAF">
        <w:rPr>
          <w:color w:val="000000"/>
        </w:rPr>
        <w:t>regressio</w:t>
      </w:r>
      <w:r w:rsidR="00EE3779">
        <w:rPr>
          <w:color w:val="000000"/>
        </w:rPr>
        <w:t xml:space="preserve">nsmodell med </w:t>
      </w:r>
      <w:r w:rsidR="002C0AE6">
        <w:rPr>
          <w:color w:val="000000"/>
        </w:rPr>
        <w:t>uppgifter från den årliga struktur</w:t>
      </w:r>
      <w:r w:rsidR="00A96F83">
        <w:rPr>
          <w:color w:val="000000"/>
        </w:rPr>
        <w:t xml:space="preserve">lönestatistiken </w:t>
      </w:r>
      <w:r w:rsidR="00EE3779">
        <w:rPr>
          <w:color w:val="000000"/>
        </w:rPr>
        <w:t>som förklarande variabler.</w:t>
      </w:r>
    </w:p>
    <w:p w14:paraId="026B06E6" w14:textId="77777777" w:rsidR="003D3258" w:rsidRDefault="003D3258" w:rsidP="002C0AE6">
      <w:pPr>
        <w:pStyle w:val="Sidfot"/>
        <w:tabs>
          <w:tab w:val="left" w:pos="851"/>
        </w:tabs>
      </w:pPr>
    </w:p>
    <w:p w14:paraId="5EF44A6B" w14:textId="3D163E78" w:rsidR="00AA2F45" w:rsidRPr="00AA2F45" w:rsidRDefault="00EE3779" w:rsidP="00EE3779">
      <w:pPr>
        <w:pStyle w:val="Sidfot"/>
        <w:tabs>
          <w:tab w:val="left" w:pos="851"/>
        </w:tabs>
      </w:pPr>
      <w:r w:rsidRPr="00D40CE4">
        <w:t xml:space="preserve">Förklaringsgraden i modellen är hög och </w:t>
      </w:r>
      <w:proofErr w:type="spellStart"/>
      <w:r w:rsidRPr="00D40CE4">
        <w:t>imputering</w:t>
      </w:r>
      <w:r w:rsidR="00D34E83">
        <w:t>en</w:t>
      </w:r>
      <w:proofErr w:type="spellEnd"/>
      <w:r w:rsidRPr="00D40CE4">
        <w:t xml:space="preserve"> kontrolleras av</w:t>
      </w:r>
      <w:r w:rsidR="00D34E83">
        <w:t xml:space="preserve"> </w:t>
      </w:r>
      <w:r w:rsidRPr="00D40CE4">
        <w:t>hand</w:t>
      </w:r>
      <w:r w:rsidR="00D34E83">
        <w:softHyphen/>
      </w:r>
      <w:r w:rsidR="00D34E83">
        <w:softHyphen/>
      </w:r>
      <w:r w:rsidRPr="00D40CE4">
        <w:t xml:space="preserve">läggare. </w:t>
      </w:r>
      <w:proofErr w:type="spellStart"/>
      <w:r w:rsidRPr="00D40CE4">
        <w:t>Imputeringar</w:t>
      </w:r>
      <w:proofErr w:type="spellEnd"/>
      <w:r w:rsidRPr="00D40CE4">
        <w:t xml:space="preserve"> för undersökning</w:t>
      </w:r>
      <w:r>
        <w:t>ens variabler är litet i förhållande till populationen</w:t>
      </w:r>
      <w:r w:rsidRPr="00D40CE4">
        <w:t>. Osäkerheten på grund</w:t>
      </w:r>
      <w:r w:rsidR="00F12137">
        <w:t xml:space="preserve"> av modellantagenden</w:t>
      </w:r>
      <w:r w:rsidR="00093DAF">
        <w:t xml:space="preserve"> bedöms vara låg</w:t>
      </w:r>
      <w:r>
        <w:t>.</w:t>
      </w:r>
    </w:p>
    <w:p w14:paraId="5CD7D2CC" w14:textId="77777777" w:rsidR="00FA5E96" w:rsidRPr="005A484A" w:rsidRDefault="00FA5E96" w:rsidP="0077704B">
      <w:pPr>
        <w:pStyle w:val="Rubrik2"/>
        <w:spacing w:before="240" w:after="40"/>
        <w:ind w:left="680" w:hanging="680"/>
        <w:rPr>
          <w:szCs w:val="20"/>
        </w:rPr>
      </w:pPr>
      <w:bookmarkStart w:id="134" w:name="_Toc92287718"/>
      <w:bookmarkStart w:id="135" w:name="_Toc92298978"/>
      <w:bookmarkStart w:id="136" w:name="_Toc92299133"/>
      <w:bookmarkStart w:id="137" w:name="_Toc92299174"/>
      <w:bookmarkStart w:id="138" w:name="_Toc92299289"/>
      <w:bookmarkStart w:id="139" w:name="_Toc92299433"/>
      <w:bookmarkStart w:id="140" w:name="_Toc92299474"/>
      <w:bookmarkStart w:id="141" w:name="_Toc418595705"/>
      <w:bookmarkStart w:id="142" w:name="_Toc430277567"/>
      <w:bookmarkStart w:id="143" w:name="_Toc449949584"/>
      <w:bookmarkStart w:id="144" w:name="_Toc467250872"/>
      <w:bookmarkStart w:id="145" w:name="_Toc467251704"/>
      <w:bookmarkStart w:id="146" w:name="_Toc467482240"/>
      <w:bookmarkStart w:id="147" w:name="_Toc67643748"/>
      <w:r w:rsidRPr="005A484A">
        <w:rPr>
          <w:szCs w:val="20"/>
        </w:rPr>
        <w:t>2.3</w:t>
      </w:r>
      <w:r w:rsidRPr="005A484A">
        <w:rPr>
          <w:szCs w:val="20"/>
        </w:rPr>
        <w:tab/>
      </w:r>
      <w:bookmarkEnd w:id="134"/>
      <w:bookmarkEnd w:id="135"/>
      <w:bookmarkEnd w:id="136"/>
      <w:bookmarkEnd w:id="137"/>
      <w:bookmarkEnd w:id="138"/>
      <w:bookmarkEnd w:id="139"/>
      <w:bookmarkEnd w:id="140"/>
      <w:r w:rsidRPr="005A484A">
        <w:rPr>
          <w:szCs w:val="20"/>
        </w:rPr>
        <w:t>Preliminär statistik jämförd med slutlig</w:t>
      </w:r>
      <w:bookmarkEnd w:id="141"/>
      <w:bookmarkEnd w:id="142"/>
      <w:bookmarkEnd w:id="143"/>
      <w:bookmarkEnd w:id="144"/>
      <w:bookmarkEnd w:id="145"/>
      <w:bookmarkEnd w:id="146"/>
      <w:bookmarkEnd w:id="147"/>
    </w:p>
    <w:p w14:paraId="5EBECA7A" w14:textId="12A1ACAD" w:rsidR="00AA2F45" w:rsidRDefault="00353C6C" w:rsidP="00AA2F45">
      <w:r>
        <w:t>Endast slutlig statistik redovisas.</w:t>
      </w:r>
    </w:p>
    <w:p w14:paraId="5F6A2A69" w14:textId="77777777" w:rsidR="00496ACC" w:rsidRPr="00AA2F45" w:rsidRDefault="00496ACC" w:rsidP="00AA2F45"/>
    <w:p w14:paraId="586A9983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48" w:name="_Toc467250873"/>
      <w:bookmarkStart w:id="149" w:name="_Toc467251705"/>
      <w:bookmarkStart w:id="150" w:name="_Toc467482241"/>
      <w:bookmarkStart w:id="151" w:name="_Toc67643749"/>
      <w:r w:rsidRPr="00FF0CB7">
        <w:rPr>
          <w:sz w:val="24"/>
          <w:szCs w:val="24"/>
        </w:rPr>
        <w:t>3</w:t>
      </w:r>
      <w:r w:rsidRPr="00FF0CB7">
        <w:rPr>
          <w:sz w:val="24"/>
          <w:szCs w:val="24"/>
        </w:rPr>
        <w:tab/>
        <w:t>Aktualitet och punktlighet</w:t>
      </w:r>
      <w:bookmarkEnd w:id="148"/>
      <w:bookmarkEnd w:id="149"/>
      <w:bookmarkEnd w:id="150"/>
      <w:bookmarkEnd w:id="151"/>
    </w:p>
    <w:p w14:paraId="0C9025B6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52" w:name="_Toc467250874"/>
      <w:bookmarkStart w:id="153" w:name="_Toc467251706"/>
      <w:bookmarkStart w:id="154" w:name="_Toc467482242"/>
      <w:bookmarkStart w:id="155" w:name="_Toc67643750"/>
      <w:r w:rsidRPr="005A3C47">
        <w:rPr>
          <w:sz w:val="20"/>
          <w:szCs w:val="20"/>
        </w:rPr>
        <w:t>3.1</w:t>
      </w:r>
      <w:r w:rsidRPr="005A3C47">
        <w:rPr>
          <w:sz w:val="20"/>
          <w:szCs w:val="20"/>
        </w:rPr>
        <w:tab/>
        <w:t>Framställningstid</w:t>
      </w:r>
      <w:bookmarkEnd w:id="152"/>
      <w:bookmarkEnd w:id="153"/>
      <w:bookmarkEnd w:id="154"/>
      <w:bookmarkEnd w:id="155"/>
    </w:p>
    <w:p w14:paraId="110378E8" w14:textId="055A27C0" w:rsidR="00AA2F45" w:rsidRPr="00AA2F45" w:rsidRDefault="00743B8B" w:rsidP="00AA2F45">
      <w:r w:rsidRPr="00743B8B">
        <w:t xml:space="preserve">Statistiken har en framställningstid på cirka två månader. Uppgiftsinsamling och granskning avslutas efter cirka 50 dagar </w:t>
      </w:r>
      <w:r>
        <w:t>från mätperiodens slut, publice</w:t>
      </w:r>
      <w:r w:rsidRPr="00743B8B">
        <w:t>ring sker efter ytterligare 10 dagar.</w:t>
      </w:r>
      <w:r w:rsidR="003F3387">
        <w:t xml:space="preserve"> Framställningstiden har varit densamma under lång tid och inga planer finns på </w:t>
      </w:r>
      <w:r w:rsidR="00643261">
        <w:t>några förändringar.</w:t>
      </w:r>
    </w:p>
    <w:p w14:paraId="4D422230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56" w:name="_Toc467250875"/>
      <w:bookmarkStart w:id="157" w:name="_Toc467251707"/>
      <w:bookmarkStart w:id="158" w:name="_Toc467482243"/>
      <w:bookmarkStart w:id="159" w:name="_Toc67643751"/>
      <w:r w:rsidRPr="005A3C47">
        <w:rPr>
          <w:sz w:val="20"/>
          <w:szCs w:val="20"/>
        </w:rPr>
        <w:t>3.2</w:t>
      </w:r>
      <w:r w:rsidRPr="005A3C47">
        <w:rPr>
          <w:sz w:val="20"/>
          <w:szCs w:val="20"/>
        </w:rPr>
        <w:tab/>
        <w:t>Frekvens</w:t>
      </w:r>
      <w:bookmarkEnd w:id="156"/>
      <w:bookmarkEnd w:id="157"/>
      <w:bookmarkEnd w:id="158"/>
      <w:bookmarkEnd w:id="159"/>
    </w:p>
    <w:p w14:paraId="7D267755" w14:textId="6EB3B72E" w:rsidR="00AA2F45" w:rsidRPr="00AA2F45" w:rsidRDefault="00FC2729" w:rsidP="00AA2F45">
      <w:r>
        <w:t>Periodiciteten för målstorheterna</w:t>
      </w:r>
      <w:r w:rsidR="003D3258">
        <w:t>s</w:t>
      </w:r>
      <w:r>
        <w:t xml:space="preserve"> referenstid är månad, även</w:t>
      </w:r>
      <w:r w:rsidR="003D3258">
        <w:t xml:space="preserve"> </w:t>
      </w:r>
      <w:r>
        <w:t>undersök</w:t>
      </w:r>
      <w:r w:rsidR="00496ACC">
        <w:softHyphen/>
      </w:r>
      <w:r>
        <w:t>ningens uppgiftsinsamling och statistikens redovisning sker månadsvis.</w:t>
      </w:r>
    </w:p>
    <w:p w14:paraId="47BCE74C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0" w:name="_Toc467250876"/>
      <w:bookmarkStart w:id="161" w:name="_Toc467251708"/>
      <w:bookmarkStart w:id="162" w:name="_Toc467482244"/>
      <w:bookmarkStart w:id="163" w:name="_Toc67643752"/>
      <w:r w:rsidRPr="005A3C47">
        <w:rPr>
          <w:sz w:val="20"/>
          <w:szCs w:val="20"/>
        </w:rPr>
        <w:t>3.3</w:t>
      </w:r>
      <w:r w:rsidRPr="005A3C47">
        <w:rPr>
          <w:sz w:val="20"/>
          <w:szCs w:val="20"/>
        </w:rPr>
        <w:tab/>
        <w:t>Punktlighet</w:t>
      </w:r>
      <w:bookmarkEnd w:id="160"/>
      <w:bookmarkEnd w:id="161"/>
      <w:bookmarkEnd w:id="162"/>
      <w:bookmarkEnd w:id="163"/>
    </w:p>
    <w:p w14:paraId="2F6C0EBA" w14:textId="61A43B40" w:rsidR="006D1C01" w:rsidRDefault="00AB10C7" w:rsidP="00496ACC">
      <w:r>
        <w:t xml:space="preserve">Statistiken </w:t>
      </w:r>
      <w:r w:rsidRPr="00480E18">
        <w:t xml:space="preserve">för </w:t>
      </w:r>
      <w:r w:rsidR="00866567" w:rsidRPr="00BA0C12">
        <w:t>20</w:t>
      </w:r>
      <w:r w:rsidR="003D3258" w:rsidRPr="00BA0C12">
        <w:t>2</w:t>
      </w:r>
      <w:r w:rsidR="00780333" w:rsidRPr="00BA0C12">
        <w:t>3</w:t>
      </w:r>
      <w:r w:rsidR="005C0036" w:rsidRPr="00480E18">
        <w:t xml:space="preserve"> publicerades </w:t>
      </w:r>
      <w:r w:rsidR="005C0036">
        <w:t xml:space="preserve">enligt gällande publiceringsplaner. Aktuell publiceringsplan för </w:t>
      </w:r>
      <w:r w:rsidR="005C0036" w:rsidRPr="00BA0C12">
        <w:t>2</w:t>
      </w:r>
      <w:r w:rsidR="00866567" w:rsidRPr="00BA0C12">
        <w:t>02</w:t>
      </w:r>
      <w:r w:rsidR="00780333" w:rsidRPr="00BA0C12">
        <w:t>4</w:t>
      </w:r>
      <w:r w:rsidR="00640308">
        <w:t xml:space="preserve"> års statistik finns på </w:t>
      </w:r>
      <w:r w:rsidR="004F4F11">
        <w:t>scb.se</w:t>
      </w:r>
      <w:r w:rsidR="005C0036">
        <w:t xml:space="preserve">. </w:t>
      </w:r>
    </w:p>
    <w:p w14:paraId="0D264D03" w14:textId="116512E8" w:rsidR="00496ACC" w:rsidRDefault="00496ACC" w:rsidP="00496ACC"/>
    <w:p w14:paraId="6D930534" w14:textId="76083DB7" w:rsidR="00496ACC" w:rsidRDefault="00496ACC" w:rsidP="00496ACC"/>
    <w:p w14:paraId="35347F0E" w14:textId="77777777" w:rsidR="00496ACC" w:rsidRDefault="00496ACC" w:rsidP="00496ACC"/>
    <w:p w14:paraId="5F7DB87B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64" w:name="_Toc467250877"/>
      <w:bookmarkStart w:id="165" w:name="_Toc467251709"/>
      <w:bookmarkStart w:id="166" w:name="_Toc467482245"/>
      <w:bookmarkStart w:id="167" w:name="_Toc67643753"/>
      <w:r w:rsidRPr="00FF0CB7">
        <w:rPr>
          <w:sz w:val="24"/>
          <w:szCs w:val="24"/>
        </w:rPr>
        <w:lastRenderedPageBreak/>
        <w:t>4</w:t>
      </w:r>
      <w:r w:rsidRPr="00FF0CB7">
        <w:rPr>
          <w:sz w:val="24"/>
          <w:szCs w:val="24"/>
        </w:rPr>
        <w:tab/>
        <w:t>Tillgänglighet och tydlighet</w:t>
      </w:r>
      <w:bookmarkEnd w:id="164"/>
      <w:bookmarkEnd w:id="165"/>
      <w:bookmarkEnd w:id="166"/>
      <w:bookmarkEnd w:id="167"/>
    </w:p>
    <w:p w14:paraId="751B2863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68" w:name="_Toc467250878"/>
      <w:bookmarkStart w:id="169" w:name="_Toc467251710"/>
      <w:bookmarkStart w:id="170" w:name="_Toc467482246"/>
      <w:bookmarkStart w:id="171" w:name="_Toc67643754"/>
      <w:r w:rsidRPr="005A3C47">
        <w:rPr>
          <w:sz w:val="20"/>
          <w:szCs w:val="20"/>
        </w:rPr>
        <w:t>4.1</w:t>
      </w:r>
      <w:r w:rsidRPr="005A3C47">
        <w:rPr>
          <w:sz w:val="20"/>
          <w:szCs w:val="20"/>
        </w:rPr>
        <w:tab/>
        <w:t>Tillgång till statistiken</w:t>
      </w:r>
      <w:bookmarkEnd w:id="168"/>
      <w:bookmarkEnd w:id="169"/>
      <w:bookmarkEnd w:id="170"/>
      <w:bookmarkEnd w:id="171"/>
    </w:p>
    <w:p w14:paraId="2DE958C6" w14:textId="339B4063" w:rsidR="00DA56BF" w:rsidRDefault="00DA56BF" w:rsidP="00DA56BF">
      <w:pPr>
        <w:pStyle w:val="Sidfot"/>
        <w:tabs>
          <w:tab w:val="left" w:pos="851"/>
        </w:tabs>
      </w:pPr>
      <w:r>
        <w:t xml:space="preserve">Undersökningen </w:t>
      </w:r>
      <w:r w:rsidR="00D224AD">
        <w:t>redovisas</w:t>
      </w:r>
      <w:r>
        <w:t xml:space="preserve"> huvudsakligen </w:t>
      </w:r>
      <w:r w:rsidR="004F4F11">
        <w:t xml:space="preserve">på </w:t>
      </w:r>
      <w:hyperlink r:id="rId9" w:history="1">
        <w:r w:rsidR="00412C93" w:rsidRPr="00403132">
          <w:rPr>
            <w:rStyle w:val="Hyperlnk"/>
          </w:rPr>
          <w:t>www.scb.se/AM0108</w:t>
        </w:r>
      </w:hyperlink>
      <w:r>
        <w:t>.</w:t>
      </w:r>
      <w:r w:rsidR="00CE59A9">
        <w:t xml:space="preserve"> Där</w:t>
      </w:r>
      <w:r>
        <w:t xml:space="preserve"> </w:t>
      </w:r>
      <w:r w:rsidR="00CE59A9">
        <w:t>finns t</w:t>
      </w:r>
      <w:r>
        <w:t>abeller med genomsnittlig månadslön och antal arbetade timmar.</w:t>
      </w:r>
      <w:r w:rsidRPr="00DA56BF">
        <w:rPr>
          <w:szCs w:val="18"/>
        </w:rPr>
        <w:t xml:space="preserve"> </w:t>
      </w:r>
      <w:r>
        <w:rPr>
          <w:szCs w:val="18"/>
        </w:rPr>
        <w:t xml:space="preserve">Den genomsnittliga månadslönen </w:t>
      </w:r>
      <w:r w:rsidR="00CE59A9">
        <w:rPr>
          <w:szCs w:val="18"/>
        </w:rPr>
        <w:t>finns</w:t>
      </w:r>
      <w:r>
        <w:rPr>
          <w:szCs w:val="18"/>
        </w:rPr>
        <w:t xml:space="preserve"> även att hämta från Statistikdata</w:t>
      </w:r>
      <w:r w:rsidR="00496ACC">
        <w:rPr>
          <w:szCs w:val="18"/>
        </w:rPr>
        <w:softHyphen/>
      </w:r>
      <w:r>
        <w:rPr>
          <w:szCs w:val="18"/>
        </w:rPr>
        <w:t>basen. Ut</w:t>
      </w:r>
      <w:r>
        <w:t>över detta görs sammanställningar för olika intressenter exempelvis Konjunkturinstitutet och Riksbanken.</w:t>
      </w:r>
    </w:p>
    <w:p w14:paraId="6BFF72AD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2" w:name="_Toc467250879"/>
      <w:bookmarkStart w:id="173" w:name="_Toc467251711"/>
      <w:bookmarkStart w:id="174" w:name="_Toc467482247"/>
      <w:bookmarkStart w:id="175" w:name="_Toc67643755"/>
      <w:r w:rsidRPr="005A3C47">
        <w:rPr>
          <w:sz w:val="20"/>
          <w:szCs w:val="20"/>
        </w:rPr>
        <w:t>4.2</w:t>
      </w:r>
      <w:r w:rsidRPr="005A3C47">
        <w:rPr>
          <w:sz w:val="20"/>
          <w:szCs w:val="20"/>
        </w:rPr>
        <w:tab/>
        <w:t>Möjlighet till ytterligare statistik</w:t>
      </w:r>
      <w:bookmarkEnd w:id="172"/>
      <w:bookmarkEnd w:id="173"/>
      <w:bookmarkEnd w:id="174"/>
      <w:bookmarkEnd w:id="175"/>
    </w:p>
    <w:p w14:paraId="41DF5361" w14:textId="77777777" w:rsidR="00AA2F45" w:rsidRPr="00AA2F45" w:rsidRDefault="00AD09DE" w:rsidP="00AA2F45">
      <w:r>
        <w:t>SCB kan på beställning utföra specialbearbetningar av primär</w:t>
      </w:r>
      <w:r>
        <w:softHyphen/>
        <w:t xml:space="preserve">materialet. </w:t>
      </w:r>
    </w:p>
    <w:p w14:paraId="2F8E85E2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76" w:name="_Toc467250880"/>
      <w:bookmarkStart w:id="177" w:name="_Toc467251712"/>
      <w:bookmarkStart w:id="178" w:name="_Toc467482248"/>
      <w:bookmarkStart w:id="179" w:name="_Toc67643756"/>
      <w:r w:rsidRPr="005A3C47">
        <w:rPr>
          <w:sz w:val="20"/>
          <w:szCs w:val="20"/>
        </w:rPr>
        <w:t>4.3</w:t>
      </w:r>
      <w:r w:rsidRPr="005A3C47">
        <w:rPr>
          <w:sz w:val="20"/>
          <w:szCs w:val="20"/>
        </w:rPr>
        <w:tab/>
        <w:t>Presentation</w:t>
      </w:r>
      <w:bookmarkEnd w:id="176"/>
      <w:bookmarkEnd w:id="177"/>
      <w:bookmarkEnd w:id="178"/>
      <w:bookmarkEnd w:id="179"/>
    </w:p>
    <w:p w14:paraId="09B2FA2F" w14:textId="77777777" w:rsidR="00BD1963" w:rsidRDefault="00BD1963" w:rsidP="00BD1963">
      <w:pPr>
        <w:pStyle w:val="Sidfot"/>
        <w:tabs>
          <w:tab w:val="left" w:pos="851"/>
        </w:tabs>
      </w:pPr>
      <w:r>
        <w:t>Undersökningen presenteras i form av tabeller och tidsserier.</w:t>
      </w:r>
    </w:p>
    <w:p w14:paraId="323490B3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0" w:name="_Toc467250881"/>
      <w:bookmarkStart w:id="181" w:name="_Toc467251713"/>
      <w:bookmarkStart w:id="182" w:name="_Toc467482249"/>
      <w:bookmarkStart w:id="183" w:name="_Toc67643757"/>
      <w:r w:rsidRPr="005A3C47">
        <w:rPr>
          <w:sz w:val="20"/>
          <w:szCs w:val="20"/>
        </w:rPr>
        <w:t>4.4</w:t>
      </w:r>
      <w:r w:rsidRPr="005A3C47">
        <w:rPr>
          <w:sz w:val="20"/>
          <w:szCs w:val="20"/>
        </w:rPr>
        <w:tab/>
        <w:t>Dokumentation</w:t>
      </w:r>
      <w:bookmarkEnd w:id="180"/>
      <w:bookmarkEnd w:id="181"/>
      <w:bookmarkEnd w:id="182"/>
      <w:bookmarkEnd w:id="183"/>
    </w:p>
    <w:p w14:paraId="25A002A3" w14:textId="26FA1289" w:rsidR="00AA2F45" w:rsidRDefault="009E2F39" w:rsidP="00AA2F45">
      <w:r w:rsidRPr="009E2F39">
        <w:t xml:space="preserve">Framställningen av statistiken och mikrodata beskrivs i </w:t>
      </w:r>
      <w:r w:rsidR="00141A1D">
        <w:rPr>
          <w:i/>
        </w:rPr>
        <w:t>St</w:t>
      </w:r>
      <w:r w:rsidR="00F35C6D">
        <w:rPr>
          <w:i/>
        </w:rPr>
        <w:t>atistikens F</w:t>
      </w:r>
      <w:r w:rsidR="000613BC">
        <w:rPr>
          <w:i/>
        </w:rPr>
        <w:t>ram</w:t>
      </w:r>
      <w:r w:rsidR="00CE59A9">
        <w:rPr>
          <w:i/>
        </w:rPr>
        <w:softHyphen/>
      </w:r>
      <w:r w:rsidR="000613BC">
        <w:rPr>
          <w:i/>
        </w:rPr>
        <w:t>ställ</w:t>
      </w:r>
      <w:r w:rsidR="00CE59A9">
        <w:rPr>
          <w:i/>
        </w:rPr>
        <w:softHyphen/>
      </w:r>
      <w:r w:rsidR="000613BC">
        <w:rPr>
          <w:i/>
        </w:rPr>
        <w:t>ning</w:t>
      </w:r>
      <w:r w:rsidR="000613BC">
        <w:t xml:space="preserve"> (</w:t>
      </w:r>
      <w:proofErr w:type="spellStart"/>
      <w:r w:rsidR="000613BC">
        <w:t>StaF</w:t>
      </w:r>
      <w:proofErr w:type="spellEnd"/>
      <w:r w:rsidRPr="009E2F39">
        <w:t xml:space="preserve">). Detaljerad information om mikrodata finns i </w:t>
      </w:r>
      <w:r w:rsidRPr="009E2F39">
        <w:rPr>
          <w:i/>
        </w:rPr>
        <w:t>Dokumentation av mikrodata</w:t>
      </w:r>
      <w:r w:rsidRPr="009E2F39">
        <w:t xml:space="preserve"> (</w:t>
      </w:r>
      <w:proofErr w:type="spellStart"/>
      <w:r w:rsidR="00CE5C3F" w:rsidRPr="009E2F39">
        <w:t>MetaPlus</w:t>
      </w:r>
      <w:proofErr w:type="spellEnd"/>
      <w:r w:rsidRPr="009E2F39">
        <w:t>). Samtliga dokumentationer är tillgängliga på s</w:t>
      </w:r>
      <w:r w:rsidR="00F35C6D">
        <w:t>cb.se</w:t>
      </w:r>
      <w:r w:rsidRPr="009E2F39">
        <w:t xml:space="preserve">.  </w:t>
      </w:r>
    </w:p>
    <w:p w14:paraId="1158FCD5" w14:textId="77777777" w:rsidR="00496ACC" w:rsidRPr="009E2F39" w:rsidRDefault="00496ACC" w:rsidP="00AA2F45"/>
    <w:p w14:paraId="0691F85E" w14:textId="77777777" w:rsidR="00FA5E96" w:rsidRPr="00FF0CB7" w:rsidRDefault="00FA5E96" w:rsidP="0077704B">
      <w:pPr>
        <w:pStyle w:val="Rubrik1"/>
        <w:ind w:left="680" w:hanging="680"/>
        <w:rPr>
          <w:sz w:val="24"/>
          <w:szCs w:val="24"/>
        </w:rPr>
      </w:pPr>
      <w:bookmarkStart w:id="184" w:name="_Toc467250882"/>
      <w:bookmarkStart w:id="185" w:name="_Toc467251714"/>
      <w:bookmarkStart w:id="186" w:name="_Toc467482250"/>
      <w:bookmarkStart w:id="187" w:name="_Toc67643758"/>
      <w:r w:rsidRPr="00FF0CB7">
        <w:rPr>
          <w:sz w:val="24"/>
          <w:szCs w:val="24"/>
        </w:rPr>
        <w:t>5</w:t>
      </w:r>
      <w:r w:rsidRPr="00FF0CB7">
        <w:rPr>
          <w:sz w:val="24"/>
          <w:szCs w:val="24"/>
        </w:rPr>
        <w:tab/>
        <w:t>Jämförbarhet och samanvändbarhet</w:t>
      </w:r>
      <w:bookmarkEnd w:id="184"/>
      <w:bookmarkEnd w:id="185"/>
      <w:bookmarkEnd w:id="186"/>
      <w:bookmarkEnd w:id="187"/>
    </w:p>
    <w:p w14:paraId="28F1D6C3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88" w:name="_Toc467250883"/>
      <w:bookmarkStart w:id="189" w:name="_Toc467251715"/>
      <w:bookmarkStart w:id="190" w:name="_Toc467482251"/>
      <w:bookmarkStart w:id="191" w:name="_Toc67643759"/>
      <w:r w:rsidRPr="005A3C47">
        <w:rPr>
          <w:sz w:val="20"/>
          <w:szCs w:val="20"/>
        </w:rPr>
        <w:t>5.1</w:t>
      </w:r>
      <w:r w:rsidRPr="005A3C47">
        <w:rPr>
          <w:sz w:val="20"/>
          <w:szCs w:val="20"/>
        </w:rPr>
        <w:tab/>
        <w:t>Jämförbarhet över tid</w:t>
      </w:r>
      <w:bookmarkEnd w:id="188"/>
      <w:bookmarkEnd w:id="189"/>
      <w:bookmarkEnd w:id="190"/>
      <w:bookmarkEnd w:id="191"/>
    </w:p>
    <w:p w14:paraId="60C8BB8C" w14:textId="77777777" w:rsidR="005B5601" w:rsidRDefault="005B5601" w:rsidP="005B5601">
      <w:pPr>
        <w:tabs>
          <w:tab w:val="left" w:pos="851"/>
        </w:tabs>
      </w:pPr>
      <w:r>
        <w:t xml:space="preserve">1999 tog SCB över produktionsansvaret från dåvarande Kommunförbundet för denna undersökning. </w:t>
      </w:r>
      <w:r w:rsidR="000373F8">
        <w:t>K</w:t>
      </w:r>
      <w:r w:rsidR="00F35C6D">
        <w:t>onjunkturstatistiken</w:t>
      </w:r>
      <w:r w:rsidR="000373F8">
        <w:t xml:space="preserve"> omfattar</w:t>
      </w:r>
      <w:r w:rsidR="00F35C6D">
        <w:t xml:space="preserve"> </w:t>
      </w:r>
      <w:r>
        <w:t>samtliga kommuner</w:t>
      </w:r>
      <w:r w:rsidR="00C82E13">
        <w:t>.</w:t>
      </w:r>
      <w:r>
        <w:t xml:space="preserve"> </w:t>
      </w:r>
      <w:r w:rsidR="00C82E13">
        <w:t>S</w:t>
      </w:r>
      <w:r>
        <w:t xml:space="preserve">killnader i </w:t>
      </w:r>
      <w:proofErr w:type="spellStart"/>
      <w:r>
        <w:t>imputeringsförfaranden</w:t>
      </w:r>
      <w:proofErr w:type="spellEnd"/>
      <w:r>
        <w:t xml:space="preserve"> </w:t>
      </w:r>
      <w:proofErr w:type="gramStart"/>
      <w:r>
        <w:t>etc.</w:t>
      </w:r>
      <w:proofErr w:type="gramEnd"/>
      <w:r>
        <w:t xml:space="preserve"> </w:t>
      </w:r>
      <w:r w:rsidR="00C82E13">
        <w:t>medför</w:t>
      </w:r>
      <w:r>
        <w:t xml:space="preserve"> att jämförelser bakåt i tiden måste tolkas med stor försiktighet. </w:t>
      </w:r>
    </w:p>
    <w:p w14:paraId="0FCFD95B" w14:textId="0CDA7012" w:rsidR="005B5601" w:rsidRDefault="005B5601" w:rsidP="005B5601">
      <w:pPr>
        <w:tabs>
          <w:tab w:val="left" w:pos="851"/>
        </w:tabs>
      </w:pPr>
      <w:r>
        <w:t>En viktig faktor för jämförbarhet mellan år och över tid är populations</w:t>
      </w:r>
      <w:r w:rsidR="00CE59A9">
        <w:softHyphen/>
      </w:r>
      <w:r>
        <w:t>föränd</w:t>
      </w:r>
      <w:r w:rsidR="00CE59A9">
        <w:softHyphen/>
      </w:r>
      <w:r>
        <w:t>ring</w:t>
      </w:r>
      <w:r w:rsidR="007F1C52">
        <w:t>ar</w:t>
      </w:r>
      <w:r>
        <w:t>. Bolagiseringar och kommunaliseringar mellan år och månader kan ha påverkan på undersökningens variabler. Större populationsförändringar</w:t>
      </w:r>
      <w:r w:rsidR="00C82E13">
        <w:t xml:space="preserve"> har</w:t>
      </w:r>
      <w:r>
        <w:t xml:space="preserve"> kommentera</w:t>
      </w:r>
      <w:r w:rsidR="00C82E13">
        <w:t>t</w:t>
      </w:r>
      <w:r>
        <w:t>s i SM och tabeller.</w:t>
      </w:r>
    </w:p>
    <w:p w14:paraId="33D23653" w14:textId="77777777" w:rsidR="005B5601" w:rsidRDefault="00C82E13" w:rsidP="005B5601">
      <w:pPr>
        <w:tabs>
          <w:tab w:val="left" w:pos="851"/>
        </w:tabs>
      </w:pPr>
      <w:r>
        <w:t xml:space="preserve">Fr.o.m. den </w:t>
      </w:r>
      <w:r w:rsidR="005B5601">
        <w:t xml:space="preserve">1 januari 2003 </w:t>
      </w:r>
      <w:r>
        <w:t>är</w:t>
      </w:r>
      <w:r w:rsidR="005B5601">
        <w:t xml:space="preserve"> Knivsta en egen kommun och</w:t>
      </w:r>
      <w:r>
        <w:t xml:space="preserve"> </w:t>
      </w:r>
      <w:r w:rsidR="000373F8">
        <w:t xml:space="preserve">sedan dess är </w:t>
      </w:r>
      <w:r>
        <w:t>antalet</w:t>
      </w:r>
      <w:r w:rsidR="005B5601">
        <w:t xml:space="preserve"> kommuner 290.</w:t>
      </w:r>
    </w:p>
    <w:p w14:paraId="227AE5D2" w14:textId="77777777" w:rsidR="005B5601" w:rsidRDefault="005B5601" w:rsidP="005B5601">
      <w:pPr>
        <w:tabs>
          <w:tab w:val="left" w:pos="851"/>
        </w:tabs>
      </w:pPr>
      <w:r>
        <w:t>2008 upphör</w:t>
      </w:r>
      <w:r w:rsidR="00C82E13">
        <w:t>de</w:t>
      </w:r>
      <w:r>
        <w:t xml:space="preserve"> insamlingen av anställda i arbetsmarknadspolitiska program (BEA-anställda). </w:t>
      </w:r>
      <w:r w:rsidR="001608B2" w:rsidRPr="001D0791">
        <w:t xml:space="preserve">I samband med denna förändring tillkom fyra variabler: sjuklön, rörliga tillägg, avtalad tid och engångsbelopp. Dessa fyra variabler samlas in av Konjunkturstatistik, </w:t>
      </w:r>
      <w:r w:rsidR="001608B2" w:rsidRPr="00194735">
        <w:t>löner för kommuner</w:t>
      </w:r>
      <w:r w:rsidR="001608B2">
        <w:t xml:space="preserve"> </w:t>
      </w:r>
      <w:r w:rsidR="001608B2" w:rsidRPr="001D0791">
        <w:t xml:space="preserve">och används till Labor </w:t>
      </w:r>
      <w:proofErr w:type="spellStart"/>
      <w:r w:rsidR="001608B2" w:rsidRPr="001D0791">
        <w:t>Cost</w:t>
      </w:r>
      <w:proofErr w:type="spellEnd"/>
      <w:r w:rsidR="001608B2" w:rsidRPr="001D0791">
        <w:t xml:space="preserve"> Index (LCI).</w:t>
      </w:r>
      <w:r w:rsidR="001608B2">
        <w:t xml:space="preserve"> </w:t>
      </w:r>
      <w:r>
        <w:t xml:space="preserve">Därutöver upphörde insamlingen av uppgifterna om anställningsform uppdelat på kön, visstid eller tillsvidareanställning. </w:t>
      </w:r>
    </w:p>
    <w:p w14:paraId="5FCF70B2" w14:textId="06243924" w:rsidR="000373F8" w:rsidRDefault="000373F8" w:rsidP="005B5601">
      <w:pPr>
        <w:tabs>
          <w:tab w:val="left" w:pos="851"/>
        </w:tabs>
      </w:pPr>
      <w:bookmarkStart w:id="192" w:name="_Hlk97802793"/>
      <w:r>
        <w:t>Under första kvartalet av 2020 började covid-19 spridas i Sverige och i världen. Pandemin</w:t>
      </w:r>
      <w:r w:rsidR="00215F9F">
        <w:t xml:space="preserve"> har</w:t>
      </w:r>
      <w:r>
        <w:t xml:space="preserve"> påverka</w:t>
      </w:r>
      <w:r w:rsidR="00215F9F">
        <w:t>t</w:t>
      </w:r>
      <w:r>
        <w:t xml:space="preserve"> samhället under kalenderår</w:t>
      </w:r>
      <w:r w:rsidR="00215F9F">
        <w:t>en</w:t>
      </w:r>
      <w:r>
        <w:t xml:space="preserve"> 2020</w:t>
      </w:r>
      <w:r w:rsidR="00215F9F">
        <w:t xml:space="preserve"> – 2021 </w:t>
      </w:r>
      <w:r w:rsidR="007B29C8">
        <w:t>men har</w:t>
      </w:r>
      <w:r w:rsidR="00215F9F">
        <w:t xml:space="preserve"> </w:t>
      </w:r>
      <w:r w:rsidR="007B29C8">
        <w:t xml:space="preserve">påverkat </w:t>
      </w:r>
      <w:r w:rsidR="005C126E">
        <w:t>undersökningen</w:t>
      </w:r>
      <w:r w:rsidR="006A0EB4">
        <w:t xml:space="preserve"> enbart i mindre omfattning</w:t>
      </w:r>
      <w:r w:rsidR="005C126E">
        <w:t>.</w:t>
      </w:r>
    </w:p>
    <w:p w14:paraId="34233A7A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3" w:name="_Toc467250884"/>
      <w:bookmarkStart w:id="194" w:name="_Toc467251716"/>
      <w:bookmarkStart w:id="195" w:name="_Toc467482252"/>
      <w:bookmarkStart w:id="196" w:name="_Toc67643760"/>
      <w:bookmarkEnd w:id="192"/>
      <w:r w:rsidRPr="005A3C47">
        <w:rPr>
          <w:sz w:val="20"/>
          <w:szCs w:val="20"/>
        </w:rPr>
        <w:t>5.2</w:t>
      </w:r>
      <w:r w:rsidRPr="005A3C47">
        <w:rPr>
          <w:sz w:val="20"/>
          <w:szCs w:val="20"/>
        </w:rPr>
        <w:tab/>
        <w:t>Jämförbarhet mellan grupper</w:t>
      </w:r>
      <w:bookmarkEnd w:id="193"/>
      <w:bookmarkEnd w:id="194"/>
      <w:bookmarkEnd w:id="195"/>
      <w:bookmarkEnd w:id="196"/>
    </w:p>
    <w:p w14:paraId="46871DAE" w14:textId="77777777" w:rsidR="00F1331C" w:rsidRDefault="00F1331C" w:rsidP="00F1331C">
      <w:pPr>
        <w:pStyle w:val="Sidfot"/>
        <w:tabs>
          <w:tab w:val="left" w:pos="851"/>
        </w:tabs>
      </w:pPr>
      <w:r>
        <w:t xml:space="preserve">Förutom </w:t>
      </w:r>
      <w:r w:rsidR="006A0EB4">
        <w:t>K</w:t>
      </w:r>
      <w:r>
        <w:t>onjunkturstatisk</w:t>
      </w:r>
      <w:r w:rsidR="006A0EB4">
        <w:t>, löner</w:t>
      </w:r>
      <w:r>
        <w:t xml:space="preserve"> för </w:t>
      </w:r>
      <w:r w:rsidR="00F84B84">
        <w:t>kommuner</w:t>
      </w:r>
      <w:r>
        <w:t xml:space="preserve"> (KLK) producerar </w:t>
      </w:r>
      <w:r w:rsidR="006A0EB4">
        <w:t xml:space="preserve">SCB </w:t>
      </w:r>
      <w:r>
        <w:t xml:space="preserve">även </w:t>
      </w:r>
      <w:r w:rsidR="006A0EB4">
        <w:t>k</w:t>
      </w:r>
      <w:r>
        <w:t>onjunkturstatistik</w:t>
      </w:r>
      <w:r w:rsidR="006A0EB4">
        <w:t xml:space="preserve"> över</w:t>
      </w:r>
      <w:r>
        <w:t xml:space="preserve"> löner för</w:t>
      </w:r>
      <w:r w:rsidR="008B4057">
        <w:t xml:space="preserve"> regioner samt statlig </w:t>
      </w:r>
      <w:r>
        <w:t>och privat sektor. B</w:t>
      </w:r>
      <w:r w:rsidR="008B4057">
        <w:t>egrepp och metoder mellan</w:t>
      </w:r>
      <w:r w:rsidR="002E2512">
        <w:t xml:space="preserve"> under</w:t>
      </w:r>
      <w:r w:rsidR="007837D8">
        <w:t>sökningarna för</w:t>
      </w:r>
      <w:r w:rsidR="002E2512">
        <w:t xml:space="preserve"> </w:t>
      </w:r>
      <w:r w:rsidR="008B4057">
        <w:t>kommuner</w:t>
      </w:r>
      <w:r>
        <w:t xml:space="preserve"> och </w:t>
      </w:r>
      <w:r w:rsidR="002E2512">
        <w:t>regioner</w:t>
      </w:r>
      <w:r>
        <w:t xml:space="preserve"> </w:t>
      </w:r>
      <w:r w:rsidR="006A0EB4">
        <w:lastRenderedPageBreak/>
        <w:t xml:space="preserve">är till stor </w:t>
      </w:r>
      <w:r>
        <w:t>d</w:t>
      </w:r>
      <w:r w:rsidR="006A0EB4">
        <w:t>el</w:t>
      </w:r>
      <w:r>
        <w:t xml:space="preserve"> identiska. Av de fyra konjunkturundersökningarna är det enbart konjunkturstatistik för privat sektor som är urvalsundersökning, övriga är totalundersökningar. </w:t>
      </w:r>
    </w:p>
    <w:p w14:paraId="488A815D" w14:textId="77777777" w:rsidR="006A0EB4" w:rsidRDefault="006A0EB4" w:rsidP="00F1331C">
      <w:pPr>
        <w:pStyle w:val="Sidfot"/>
        <w:tabs>
          <w:tab w:val="left" w:pos="851"/>
        </w:tabs>
      </w:pPr>
    </w:p>
    <w:p w14:paraId="0491AEDF" w14:textId="77777777" w:rsidR="00F1331C" w:rsidRDefault="00F1331C" w:rsidP="00F1331C">
      <w:pPr>
        <w:pStyle w:val="Sidfot"/>
        <w:tabs>
          <w:tab w:val="left" w:pos="851"/>
        </w:tabs>
      </w:pPr>
      <w:r w:rsidRPr="00194735">
        <w:t xml:space="preserve">För </w:t>
      </w:r>
      <w:r>
        <w:t>p</w:t>
      </w:r>
      <w:r w:rsidRPr="00194735">
        <w:t>rivat sektor redovisas den genomsnittliga månadslönen såväl med som utan rörliga tillägg</w:t>
      </w:r>
      <w:r>
        <w:t xml:space="preserve"> för tjänstemän. För arbetare redovisas timlönen. </w:t>
      </w:r>
    </w:p>
    <w:p w14:paraId="63EE4B92" w14:textId="77777777" w:rsidR="000D741C" w:rsidRDefault="000D741C" w:rsidP="00F1331C">
      <w:pPr>
        <w:pStyle w:val="Sidfot"/>
        <w:tabs>
          <w:tab w:val="left" w:pos="851"/>
        </w:tabs>
      </w:pPr>
    </w:p>
    <w:p w14:paraId="47D60079" w14:textId="77777777" w:rsidR="000D741C" w:rsidRDefault="000D741C" w:rsidP="00F1331C">
      <w:pPr>
        <w:pStyle w:val="Sidfot"/>
        <w:tabs>
          <w:tab w:val="left" w:pos="851"/>
        </w:tabs>
      </w:pPr>
      <w:r w:rsidRPr="001504E0">
        <w:t xml:space="preserve">Vid jämförelser av löneutvecklingen mellan olika sektorer </w:t>
      </w:r>
      <w:r>
        <w:t>och år bör hänsyn tas</w:t>
      </w:r>
      <w:r w:rsidRPr="001504E0">
        <w:t xml:space="preserve"> till </w:t>
      </w:r>
      <w:r w:rsidR="00D348AB">
        <w:t>löneavtalens</w:t>
      </w:r>
      <w:r w:rsidR="00D348AB" w:rsidRPr="001504E0">
        <w:t xml:space="preserve"> olika tidpunkter</w:t>
      </w:r>
      <w:r w:rsidR="00D348AB">
        <w:t xml:space="preserve"> för respektive </w:t>
      </w:r>
      <w:r w:rsidRPr="001504E0">
        <w:t>lönerevision</w:t>
      </w:r>
      <w:r w:rsidR="00D348AB">
        <w:t>.</w:t>
      </w:r>
    </w:p>
    <w:p w14:paraId="77DCF307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197" w:name="_Toc467250885"/>
      <w:bookmarkStart w:id="198" w:name="_Toc467251717"/>
      <w:bookmarkStart w:id="199" w:name="_Toc467482253"/>
      <w:bookmarkStart w:id="200" w:name="_Toc67643761"/>
      <w:r w:rsidRPr="005A3C47">
        <w:rPr>
          <w:sz w:val="20"/>
          <w:szCs w:val="20"/>
        </w:rPr>
        <w:t>5.3</w:t>
      </w:r>
      <w:r w:rsidRPr="005A3C47">
        <w:rPr>
          <w:sz w:val="20"/>
          <w:szCs w:val="20"/>
        </w:rPr>
        <w:tab/>
        <w:t>Samanvändbarhet i övrigt</w:t>
      </w:r>
      <w:bookmarkEnd w:id="197"/>
      <w:bookmarkEnd w:id="198"/>
      <w:bookmarkEnd w:id="199"/>
      <w:bookmarkEnd w:id="200"/>
    </w:p>
    <w:p w14:paraId="726441E9" w14:textId="77777777" w:rsidR="00D348AB" w:rsidRDefault="00233163" w:rsidP="00233163">
      <w:pPr>
        <w:pStyle w:val="Sidfot"/>
        <w:tabs>
          <w:tab w:val="left" w:pos="851"/>
        </w:tabs>
      </w:pPr>
      <w:r>
        <w:t>En gång per år publicerar SCB lönestruktursta</w:t>
      </w:r>
      <w:r w:rsidR="006648FE">
        <w:t>tistik för kommunerna</w:t>
      </w:r>
      <w:r>
        <w:t xml:space="preserve">. </w:t>
      </w:r>
      <w:r w:rsidR="00D348AB">
        <w:t>Denna undersökning (</w:t>
      </w:r>
      <w:r>
        <w:t>KLK</w:t>
      </w:r>
      <w:r w:rsidR="00D348AB">
        <w:t>)</w:t>
      </w:r>
      <w:r>
        <w:t xml:space="preserve"> samlar in aggregerade uppgifter medan lönestruktur</w:t>
      </w:r>
      <w:r w:rsidR="00D348AB">
        <w:softHyphen/>
      </w:r>
      <w:r>
        <w:t xml:space="preserve">statistiken är individbaserad. Begreppet genomsnittlig månadslön skiljer sig mellan undersökningarna. </w:t>
      </w:r>
      <w:proofErr w:type="gramStart"/>
      <w:r>
        <w:t>Istället</w:t>
      </w:r>
      <w:proofErr w:type="gramEnd"/>
      <w:r>
        <w:t xml:space="preserve"> för månadslönen i strukturstatistiken, bör grundlönen i samma undersökning användas vid jämförelser med KLK.</w:t>
      </w:r>
    </w:p>
    <w:p w14:paraId="0B4176EB" w14:textId="77777777" w:rsidR="00233163" w:rsidRDefault="00233163" w:rsidP="00233163">
      <w:pPr>
        <w:pStyle w:val="Sidfot"/>
        <w:tabs>
          <w:tab w:val="left" w:pos="851"/>
        </w:tabs>
      </w:pPr>
      <w:r>
        <w:t xml:space="preserve"> </w:t>
      </w:r>
    </w:p>
    <w:p w14:paraId="697BBECE" w14:textId="77777777" w:rsidR="00AA2F45" w:rsidRPr="00AA2F45" w:rsidRDefault="00233163" w:rsidP="00AA2F45">
      <w:r>
        <w:t>Inom arbetsmarknadsområdet finns det flera undersökningar som mäter antal anställda och arb</w:t>
      </w:r>
      <w:r w:rsidR="00A7150B">
        <w:t>etade timmar för kommunerna</w:t>
      </w:r>
      <w:r>
        <w:t xml:space="preserve">. </w:t>
      </w:r>
      <w:r w:rsidR="00D348AB">
        <w:t>A</w:t>
      </w:r>
      <w:r>
        <w:t>rbetskraftsundersök</w:t>
      </w:r>
      <w:r w:rsidR="00D348AB">
        <w:softHyphen/>
      </w:r>
      <w:r>
        <w:t xml:space="preserve">ningarna (AKU) är en av dessa och publicerar statistik över sysselsättningen för hela arbetsmarknaden. </w:t>
      </w:r>
      <w:r w:rsidRPr="003F48C3">
        <w:t>Kortperiodisk sysselsättningsstatistik för hela arbetsmarknaden produceras kv</w:t>
      </w:r>
      <w:r>
        <w:t>artalsvis</w:t>
      </w:r>
      <w:r w:rsidRPr="003F48C3">
        <w:t>.</w:t>
      </w:r>
      <w:r>
        <w:t xml:space="preserve"> Skillnader i antal anställda och timmar beror på olika populationsavgränsningar och olika mätmetoder. </w:t>
      </w:r>
    </w:p>
    <w:p w14:paraId="4B53CFD5" w14:textId="77777777" w:rsidR="00FA5E96" w:rsidRPr="005A3C47" w:rsidRDefault="00FA5E96" w:rsidP="0077704B">
      <w:pPr>
        <w:pStyle w:val="Rubrik2"/>
        <w:spacing w:before="240" w:after="40"/>
        <w:ind w:left="680" w:hanging="680"/>
        <w:rPr>
          <w:sz w:val="20"/>
          <w:szCs w:val="20"/>
        </w:rPr>
      </w:pPr>
      <w:bookmarkStart w:id="201" w:name="_Toc467250886"/>
      <w:bookmarkStart w:id="202" w:name="_Toc467251718"/>
      <w:bookmarkStart w:id="203" w:name="_Toc467482254"/>
      <w:bookmarkStart w:id="204" w:name="_Toc67643762"/>
      <w:r w:rsidRPr="005A3C47">
        <w:rPr>
          <w:sz w:val="20"/>
          <w:szCs w:val="20"/>
        </w:rPr>
        <w:t>5.4</w:t>
      </w:r>
      <w:r w:rsidRPr="005A3C47">
        <w:rPr>
          <w:sz w:val="20"/>
          <w:szCs w:val="20"/>
        </w:rPr>
        <w:tab/>
        <w:t>Numerisk överensstämmelse</w:t>
      </w:r>
      <w:bookmarkEnd w:id="201"/>
      <w:bookmarkEnd w:id="202"/>
      <w:bookmarkEnd w:id="203"/>
      <w:bookmarkEnd w:id="204"/>
    </w:p>
    <w:p w14:paraId="695906E7" w14:textId="77777777" w:rsidR="00FA5E96" w:rsidRDefault="0032443E" w:rsidP="0032443E">
      <w:pPr>
        <w:pStyle w:val="Sidfot"/>
        <w:tabs>
          <w:tab w:val="left" w:pos="851"/>
        </w:tabs>
      </w:pPr>
      <w:r>
        <w:t>Begreppet genomsnittlig månadslön skiljer sig mellan KLK och strukturlöne</w:t>
      </w:r>
      <w:r w:rsidR="00D735DB">
        <w:softHyphen/>
      </w:r>
      <w:r>
        <w:t>undersök</w:t>
      </w:r>
      <w:r w:rsidR="001675B7">
        <w:t>ningen för kommunerna</w:t>
      </w:r>
      <w:r>
        <w:t>. Grundlönen definieras som fast lön plus fasta tillägg</w:t>
      </w:r>
      <w:r w:rsidR="00633297">
        <w:t xml:space="preserve"> i KLK</w:t>
      </w:r>
      <w:r>
        <w:t xml:space="preserve"> medan månadslönen i strukturlönestatistiken </w:t>
      </w:r>
      <w:r w:rsidR="004E372B">
        <w:t>även inkluderar</w:t>
      </w:r>
      <w:r w:rsidR="00633297">
        <w:t xml:space="preserve"> </w:t>
      </w:r>
      <w:r>
        <w:t xml:space="preserve">rörliga tillägg och förmåner. </w:t>
      </w:r>
    </w:p>
    <w:p w14:paraId="176AB4AC" w14:textId="77777777" w:rsidR="00D735DB" w:rsidRDefault="00D735DB" w:rsidP="0032443E">
      <w:pPr>
        <w:pStyle w:val="Sidfot"/>
        <w:tabs>
          <w:tab w:val="left" w:pos="851"/>
        </w:tabs>
      </w:pPr>
    </w:p>
    <w:p w14:paraId="73A1DB69" w14:textId="77777777" w:rsidR="00D735DB" w:rsidRPr="0011576B" w:rsidRDefault="00D735DB" w:rsidP="0032443E">
      <w:pPr>
        <w:pStyle w:val="Sidfot"/>
        <w:tabs>
          <w:tab w:val="left" w:pos="851"/>
        </w:tabs>
        <w:rPr>
          <w:rFonts w:ascii="Verdana" w:eastAsia="Times New Roman" w:hAnsi="Verdana" w:cs="Times New Roman"/>
          <w:color w:val="129AB0"/>
          <w:sz w:val="17"/>
          <w:szCs w:val="17"/>
          <w:lang w:eastAsia="sv-SE"/>
        </w:rPr>
      </w:pPr>
      <w:r>
        <w:t>Inga brister har noterats när det gäller den numeriska överensstämmelsen mellan olika statistikvärden.</w:t>
      </w:r>
    </w:p>
    <w:p w14:paraId="236B3C70" w14:textId="77777777" w:rsidR="00A21E99" w:rsidRPr="00AA2F45" w:rsidRDefault="00A21E99" w:rsidP="00A21E99"/>
    <w:p w14:paraId="63FA60BD" w14:textId="77777777" w:rsidR="00922401" w:rsidRPr="00FF0CB7" w:rsidRDefault="00C95FB4" w:rsidP="005A3C47">
      <w:pPr>
        <w:pStyle w:val="Rubrik"/>
        <w:spacing w:before="240" w:after="40"/>
        <w:ind w:left="851" w:hanging="851"/>
        <w:rPr>
          <w:rFonts w:ascii="Arial" w:eastAsia="Times New Roman" w:hAnsi="Arial" w:cs="Arial"/>
          <w:b/>
          <w:sz w:val="28"/>
          <w:szCs w:val="28"/>
          <w:lang w:eastAsia="sv-SE"/>
        </w:rPr>
      </w:pPr>
      <w:bookmarkStart w:id="205" w:name="_Toc467250887"/>
      <w:bookmarkStart w:id="206" w:name="_Toc467251719"/>
      <w:bookmarkStart w:id="207" w:name="_Toc467482255"/>
      <w:bookmarkStart w:id="208" w:name="_Toc67643763"/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Allmänna</w:t>
      </w:r>
      <w:r w:rsidR="00B2442C"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 </w:t>
      </w:r>
      <w:r w:rsidRPr="00FF0CB7">
        <w:rPr>
          <w:rFonts w:ascii="Arial" w:eastAsia="Times New Roman" w:hAnsi="Arial" w:cs="Arial"/>
          <w:b/>
          <w:sz w:val="28"/>
          <w:szCs w:val="28"/>
          <w:lang w:eastAsia="sv-SE"/>
        </w:rPr>
        <w:t>uppgifter</w:t>
      </w:r>
      <w:bookmarkEnd w:id="205"/>
      <w:bookmarkEnd w:id="206"/>
      <w:bookmarkEnd w:id="207"/>
      <w:bookmarkEnd w:id="208"/>
    </w:p>
    <w:p w14:paraId="175E1A83" w14:textId="77777777" w:rsidR="00922401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09" w:name="_Toc435767592"/>
      <w:bookmarkStart w:id="210" w:name="_Toc467250888"/>
      <w:bookmarkStart w:id="211" w:name="_Toc467251720"/>
      <w:bookmarkStart w:id="212" w:name="_Toc467482256"/>
      <w:bookmarkStart w:id="213" w:name="_Toc67643764"/>
      <w:r w:rsidRPr="00FF0CB7">
        <w:rPr>
          <w:sz w:val="24"/>
          <w:szCs w:val="24"/>
        </w:rPr>
        <w:t>A</w:t>
      </w:r>
      <w:r w:rsidRPr="00FF0CB7">
        <w:rPr>
          <w:sz w:val="24"/>
          <w:szCs w:val="24"/>
        </w:rPr>
        <w:tab/>
      </w:r>
      <w:bookmarkEnd w:id="209"/>
      <w:r w:rsidR="0056476D" w:rsidRPr="00FF0CB7">
        <w:rPr>
          <w:sz w:val="24"/>
          <w:szCs w:val="24"/>
        </w:rPr>
        <w:t>K</w:t>
      </w:r>
      <w:r w:rsidR="00922401" w:rsidRPr="00FF0CB7">
        <w:rPr>
          <w:sz w:val="24"/>
          <w:szCs w:val="24"/>
        </w:rPr>
        <w:t>lassificering</w:t>
      </w:r>
      <w:r w:rsidR="0056476D" w:rsidRPr="00FF0CB7">
        <w:rPr>
          <w:sz w:val="24"/>
          <w:szCs w:val="24"/>
        </w:rPr>
        <w:t>en Sveriges officiella statistik</w:t>
      </w:r>
      <w:bookmarkEnd w:id="210"/>
      <w:bookmarkEnd w:id="211"/>
      <w:bookmarkEnd w:id="212"/>
      <w:bookmarkEnd w:id="213"/>
    </w:p>
    <w:p w14:paraId="102BE3FE" w14:textId="77777777" w:rsidR="002268C9" w:rsidRPr="002268C9" w:rsidRDefault="002268C9" w:rsidP="002268C9">
      <w:r>
        <w:t xml:space="preserve">Statistiken ingår i Sveriges officiella </w:t>
      </w:r>
      <w:r w:rsidR="008F1417">
        <w:t>statiskt</w:t>
      </w:r>
      <w:r>
        <w:t>.</w:t>
      </w:r>
    </w:p>
    <w:p w14:paraId="7ED636ED" w14:textId="77A9365F" w:rsidR="00CF2F52" w:rsidRPr="007B5482" w:rsidRDefault="001966CE" w:rsidP="00CF2F52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>För statistik som ingår i Sveriges officiella statistik (SOS) gäller särskilda regler för kvalitet och tillgänglighet, se lagen (</w:t>
      </w:r>
      <w:r w:rsidR="00245E3E">
        <w:rPr>
          <w:rFonts w:eastAsia="Times New Roman" w:cs="Times New Roman"/>
          <w:lang w:eastAsia="sv-SE"/>
        </w:rPr>
        <w:t xml:space="preserve">SFS </w:t>
      </w:r>
      <w:r w:rsidRPr="00893BEB">
        <w:rPr>
          <w:rFonts w:eastAsia="Times New Roman" w:cs="Times New Roman"/>
          <w:lang w:eastAsia="sv-SE"/>
        </w:rPr>
        <w:t>2001:99</w:t>
      </w:r>
      <w:r>
        <w:rPr>
          <w:rFonts w:eastAsia="Times New Roman" w:cs="Times New Roman"/>
          <w:lang w:eastAsia="sv-SE"/>
        </w:rPr>
        <w:t>) och förordningen (</w:t>
      </w:r>
      <w:r w:rsidR="00893BEB">
        <w:rPr>
          <w:rFonts w:eastAsia="Times New Roman" w:cs="Times New Roman"/>
          <w:lang w:eastAsia="sv-SE"/>
        </w:rPr>
        <w:t xml:space="preserve">SFS </w:t>
      </w:r>
      <w:r w:rsidRPr="00893BEB">
        <w:rPr>
          <w:rFonts w:eastAsia="Times New Roman" w:cs="Times New Roman"/>
          <w:lang w:eastAsia="sv-SE"/>
        </w:rPr>
        <w:t>2001:100</w:t>
      </w:r>
      <w:r>
        <w:rPr>
          <w:rFonts w:eastAsia="Times New Roman" w:cs="Times New Roman"/>
          <w:lang w:eastAsia="sv-SE"/>
        </w:rPr>
        <w:t>) om den officiella statistiken samt Statistiska centralbyråns föreskrifter (</w:t>
      </w:r>
      <w:r w:rsidRPr="00893BEB">
        <w:rPr>
          <w:rFonts w:eastAsia="Times New Roman" w:cs="Times New Roman"/>
          <w:lang w:eastAsia="sv-SE"/>
        </w:rPr>
        <w:t>SCB-FS</w:t>
      </w:r>
      <w:r w:rsidR="00893BEB">
        <w:rPr>
          <w:rFonts w:eastAsia="Times New Roman" w:cs="Times New Roman"/>
          <w:lang w:eastAsia="sv-SE"/>
        </w:rPr>
        <w:t xml:space="preserve"> </w:t>
      </w:r>
      <w:r w:rsidRPr="00893BEB">
        <w:rPr>
          <w:rFonts w:eastAsia="Times New Roman" w:cs="Times New Roman"/>
          <w:lang w:eastAsia="sv-SE"/>
        </w:rPr>
        <w:t>2016:17</w:t>
      </w:r>
      <w:r>
        <w:rPr>
          <w:rFonts w:eastAsia="Times New Roman" w:cs="Times New Roman"/>
          <w:lang w:eastAsia="sv-SE"/>
        </w:rPr>
        <w:t>) om kvalitet för den officiella statistiken.</w:t>
      </w:r>
    </w:p>
    <w:p w14:paraId="7B061004" w14:textId="77777777" w:rsidR="00C9452D" w:rsidRPr="00FF0CB7" w:rsidRDefault="00C9452D" w:rsidP="0077704B">
      <w:pPr>
        <w:pStyle w:val="Rubrik1"/>
        <w:ind w:left="680" w:hanging="680"/>
        <w:rPr>
          <w:sz w:val="24"/>
          <w:szCs w:val="24"/>
        </w:rPr>
      </w:pPr>
      <w:bookmarkStart w:id="214" w:name="_Toc467250889"/>
      <w:bookmarkStart w:id="215" w:name="_Toc467251721"/>
      <w:bookmarkStart w:id="216" w:name="_Toc467482257"/>
      <w:bookmarkStart w:id="217" w:name="_Toc67643765"/>
      <w:r w:rsidRPr="00FF0CB7">
        <w:rPr>
          <w:sz w:val="24"/>
          <w:szCs w:val="24"/>
        </w:rPr>
        <w:t>B</w:t>
      </w:r>
      <w:r w:rsidRPr="00FF0CB7">
        <w:rPr>
          <w:sz w:val="24"/>
          <w:szCs w:val="24"/>
        </w:rPr>
        <w:tab/>
        <w:t>Sekretess</w:t>
      </w:r>
      <w:r w:rsidR="00C60C56" w:rsidRPr="00FF0CB7">
        <w:rPr>
          <w:sz w:val="24"/>
          <w:szCs w:val="24"/>
        </w:rPr>
        <w:t xml:space="preserve"> och personuppgiftsbehandling</w:t>
      </w:r>
      <w:bookmarkEnd w:id="214"/>
      <w:bookmarkEnd w:id="215"/>
      <w:bookmarkEnd w:id="216"/>
      <w:bookmarkEnd w:id="217"/>
    </w:p>
    <w:p w14:paraId="32A15547" w14:textId="72962A1E" w:rsidR="00E36321" w:rsidRPr="00741E81" w:rsidRDefault="00E36321" w:rsidP="00E36321">
      <w:pPr>
        <w:tabs>
          <w:tab w:val="left" w:pos="851"/>
        </w:tabs>
      </w:pPr>
      <w:r w:rsidRPr="00741E81">
        <w:t>I myndigheternas särskilda verksamhet för framställning av statistik gäller sekretess enligt 24 kap. 8 § offentlighets- och sekretesslagen (</w:t>
      </w:r>
      <w:r w:rsidR="00893BEB">
        <w:rPr>
          <w:rFonts w:eastAsia="Times New Roman" w:cs="Times New Roman"/>
          <w:lang w:eastAsia="sv-SE"/>
        </w:rPr>
        <w:t>SFS</w:t>
      </w:r>
      <w:r w:rsidR="00893BEB" w:rsidRPr="00893BEB">
        <w:t xml:space="preserve"> </w:t>
      </w:r>
      <w:r w:rsidRPr="00893BEB">
        <w:t>2009:400</w:t>
      </w:r>
      <w:r w:rsidRPr="00741E81">
        <w:t>).</w:t>
      </w:r>
    </w:p>
    <w:p w14:paraId="725146F4" w14:textId="77777777" w:rsidR="00CF2F52" w:rsidRPr="007B5482" w:rsidRDefault="00E36321" w:rsidP="00E36321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 w:rsidRPr="00741E81">
        <w:rPr>
          <w:iCs/>
        </w:rPr>
        <w:t>Ingen behandling av personuppgifter förekommer.</w:t>
      </w:r>
    </w:p>
    <w:p w14:paraId="331BE764" w14:textId="77777777" w:rsidR="00C9452D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18" w:name="_Toc467250890"/>
      <w:bookmarkStart w:id="219" w:name="_Toc467251722"/>
      <w:bookmarkStart w:id="220" w:name="_Toc467482258"/>
      <w:bookmarkStart w:id="221" w:name="_Toc67643766"/>
      <w:bookmarkStart w:id="222" w:name="_Toc435767597"/>
      <w:r w:rsidRPr="00FF0CB7">
        <w:rPr>
          <w:sz w:val="24"/>
          <w:szCs w:val="22"/>
        </w:rPr>
        <w:lastRenderedPageBreak/>
        <w:t>C</w:t>
      </w:r>
      <w:r w:rsidR="00C9452D" w:rsidRPr="00FF0CB7">
        <w:rPr>
          <w:sz w:val="24"/>
          <w:szCs w:val="22"/>
        </w:rPr>
        <w:tab/>
        <w:t>Bevarande och gallring</w:t>
      </w:r>
      <w:bookmarkEnd w:id="218"/>
      <w:bookmarkEnd w:id="219"/>
      <w:bookmarkEnd w:id="220"/>
      <w:bookmarkEnd w:id="221"/>
    </w:p>
    <w:p w14:paraId="5088BEC5" w14:textId="2ADF87B6" w:rsidR="00CF2F52" w:rsidRPr="006D4942" w:rsidRDefault="006D4942" w:rsidP="006D4942">
      <w:r>
        <w:t xml:space="preserve">För </w:t>
      </w:r>
      <w:proofErr w:type="spellStart"/>
      <w:r>
        <w:t>inkommet</w:t>
      </w:r>
      <w:proofErr w:type="spellEnd"/>
      <w:r>
        <w:t xml:space="preserve"> material gäller en gallringsfrist på två år enligt Medlingsinsti</w:t>
      </w:r>
      <w:r w:rsidR="00C55F1A">
        <w:softHyphen/>
      </w:r>
      <w:r>
        <w:t>tutets gallringsbeslut 45/307.</w:t>
      </w:r>
      <w:r w:rsidR="00CB601B">
        <w:t xml:space="preserve"> Alla slutliga </w:t>
      </w:r>
      <w:r>
        <w:t xml:space="preserve">observationsregister </w:t>
      </w:r>
      <w:r w:rsidR="00014B0F">
        <w:t xml:space="preserve">lagras </w:t>
      </w:r>
      <w:r w:rsidR="00CB601B" w:rsidRPr="00CB601B">
        <w:t xml:space="preserve">hos </w:t>
      </w:r>
      <w:r w:rsidR="00CB601B">
        <w:rPr>
          <w:szCs w:val="20"/>
        </w:rPr>
        <w:t>Statistiska Centralbyrån</w:t>
      </w:r>
      <w:r w:rsidR="00CB601B">
        <w:t xml:space="preserve">. </w:t>
      </w:r>
      <w:r w:rsidR="0000286B">
        <w:t>Medlingsinstitutet/SCB ansvarar över tid för b</w:t>
      </w:r>
      <w:r w:rsidR="00E36321" w:rsidRPr="009474CC">
        <w:rPr>
          <w:szCs w:val="20"/>
        </w:rPr>
        <w:t>evarande</w:t>
      </w:r>
      <w:r w:rsidR="00CB601B">
        <w:rPr>
          <w:szCs w:val="20"/>
        </w:rPr>
        <w:t>behov</w:t>
      </w:r>
      <w:r w:rsidR="00E36321" w:rsidRPr="009474CC">
        <w:rPr>
          <w:szCs w:val="20"/>
        </w:rPr>
        <w:t>et</w:t>
      </w:r>
      <w:r w:rsidR="00E36321">
        <w:rPr>
          <w:szCs w:val="20"/>
        </w:rPr>
        <w:t>.</w:t>
      </w:r>
      <w:r>
        <w:rPr>
          <w:szCs w:val="20"/>
        </w:rPr>
        <w:t xml:space="preserve"> </w:t>
      </w:r>
    </w:p>
    <w:p w14:paraId="290B646F" w14:textId="77777777" w:rsidR="00C9452D" w:rsidRPr="00FF0CB7" w:rsidRDefault="0081247B" w:rsidP="0077704B">
      <w:pPr>
        <w:pStyle w:val="Rubrik1"/>
        <w:ind w:left="737" w:hanging="737"/>
        <w:rPr>
          <w:sz w:val="24"/>
          <w:szCs w:val="22"/>
        </w:rPr>
      </w:pPr>
      <w:bookmarkStart w:id="223" w:name="_Toc467250891"/>
      <w:bookmarkStart w:id="224" w:name="_Toc467251723"/>
      <w:bookmarkStart w:id="225" w:name="_Toc467482259"/>
      <w:bookmarkStart w:id="226" w:name="_Toc67643767"/>
      <w:r w:rsidRPr="00FF0CB7">
        <w:rPr>
          <w:sz w:val="24"/>
          <w:szCs w:val="22"/>
        </w:rPr>
        <w:t>D</w:t>
      </w:r>
      <w:r w:rsidR="00C9452D" w:rsidRPr="00FF0CB7">
        <w:rPr>
          <w:sz w:val="24"/>
          <w:szCs w:val="22"/>
        </w:rPr>
        <w:tab/>
        <w:t>Uppgiftsskyldighet</w:t>
      </w:r>
      <w:bookmarkEnd w:id="223"/>
      <w:bookmarkEnd w:id="224"/>
      <w:bookmarkEnd w:id="225"/>
      <w:bookmarkEnd w:id="226"/>
    </w:p>
    <w:p w14:paraId="3518BA23" w14:textId="77777777" w:rsidR="002C161E" w:rsidRDefault="002C161E" w:rsidP="002C161E">
      <w:pPr>
        <w:pStyle w:val="Sidfot"/>
        <w:tabs>
          <w:tab w:val="left" w:pos="851"/>
        </w:tabs>
      </w:pPr>
      <w:bookmarkStart w:id="227" w:name="_Toc435767596"/>
      <w:r>
        <w:t xml:space="preserve">Uppgiftsskyldighet föreligger enligt lagen om den officiella statistiken </w:t>
      </w:r>
    </w:p>
    <w:p w14:paraId="10A992F4" w14:textId="7D573901" w:rsidR="00CF2F52" w:rsidRPr="007B5482" w:rsidRDefault="002C161E" w:rsidP="002C161E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lang w:eastAsia="sv-SE"/>
        </w:rPr>
      </w:pPr>
      <w:r>
        <w:t>(</w:t>
      </w:r>
      <w:r w:rsidRPr="00893BEB">
        <w:t>SFS 2001:99</w:t>
      </w:r>
      <w:r>
        <w:t>) och (</w:t>
      </w:r>
      <w:r w:rsidRPr="00893BEB">
        <w:t>SCB-FS 20</w:t>
      </w:r>
      <w:r w:rsidR="00893BEB">
        <w:t>2</w:t>
      </w:r>
      <w:r w:rsidRPr="00893BEB">
        <w:t>1:1</w:t>
      </w:r>
      <w:r w:rsidR="00893BEB">
        <w:t>9</w:t>
      </w:r>
      <w:r>
        <w:t>).</w:t>
      </w:r>
    </w:p>
    <w:p w14:paraId="547763FF" w14:textId="77777777" w:rsidR="00922401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28" w:name="_Toc435767598"/>
      <w:bookmarkStart w:id="229" w:name="_Toc467250892"/>
      <w:bookmarkStart w:id="230" w:name="_Toc467251724"/>
      <w:bookmarkStart w:id="231" w:name="_Toc467482260"/>
      <w:bookmarkStart w:id="232" w:name="_Toc67643768"/>
      <w:bookmarkEnd w:id="222"/>
      <w:bookmarkEnd w:id="227"/>
      <w:r w:rsidRPr="00FF0CB7">
        <w:rPr>
          <w:sz w:val="24"/>
          <w:szCs w:val="22"/>
        </w:rPr>
        <w:t>E</w:t>
      </w:r>
      <w:r w:rsidR="00C9452D" w:rsidRPr="00FF0CB7">
        <w:rPr>
          <w:sz w:val="24"/>
          <w:szCs w:val="22"/>
        </w:rPr>
        <w:tab/>
      </w:r>
      <w:r w:rsidR="00C8551F" w:rsidRPr="00FF0CB7">
        <w:rPr>
          <w:sz w:val="24"/>
          <w:szCs w:val="22"/>
        </w:rPr>
        <w:t xml:space="preserve">EU-reglering och </w:t>
      </w:r>
      <w:bookmarkEnd w:id="228"/>
      <w:r w:rsidR="00C8551F" w:rsidRPr="00FF0CB7">
        <w:rPr>
          <w:sz w:val="24"/>
          <w:szCs w:val="22"/>
        </w:rPr>
        <w:t>internationell rapportering</w:t>
      </w:r>
      <w:bookmarkEnd w:id="229"/>
      <w:bookmarkEnd w:id="230"/>
      <w:bookmarkEnd w:id="231"/>
      <w:bookmarkEnd w:id="232"/>
    </w:p>
    <w:p w14:paraId="034400D0" w14:textId="77777777" w:rsidR="00A83B2B" w:rsidRPr="00A83B2B" w:rsidRDefault="002C161E" w:rsidP="00A83B2B">
      <w:r>
        <w:t xml:space="preserve">Undersökningen </w:t>
      </w:r>
      <w:r w:rsidR="000350DB">
        <w:t>är inte EU-reglerad</w:t>
      </w:r>
      <w:r>
        <w:rPr>
          <w:sz w:val="23"/>
          <w:szCs w:val="23"/>
        </w:rPr>
        <w:t>.</w:t>
      </w:r>
    </w:p>
    <w:p w14:paraId="62DFD080" w14:textId="77777777" w:rsidR="002534EC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3" w:name="_Toc467250893"/>
      <w:bookmarkStart w:id="234" w:name="_Toc467251725"/>
      <w:bookmarkStart w:id="235" w:name="_Toc467482261"/>
      <w:bookmarkStart w:id="236" w:name="_Toc67643769"/>
      <w:r w:rsidRPr="00FF0CB7">
        <w:rPr>
          <w:sz w:val="24"/>
          <w:szCs w:val="22"/>
        </w:rPr>
        <w:t>F</w:t>
      </w:r>
      <w:r w:rsidR="002534EC" w:rsidRPr="00FF0CB7">
        <w:rPr>
          <w:sz w:val="24"/>
          <w:szCs w:val="22"/>
        </w:rPr>
        <w:tab/>
        <w:t>Historik</w:t>
      </w:r>
      <w:bookmarkEnd w:id="233"/>
      <w:bookmarkEnd w:id="234"/>
      <w:bookmarkEnd w:id="235"/>
      <w:bookmarkEnd w:id="236"/>
    </w:p>
    <w:p w14:paraId="3F4EAD66" w14:textId="77777777" w:rsidR="002C161E" w:rsidRDefault="002C161E" w:rsidP="00145629">
      <w:p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Kortperiodisk löne- och sysselsättningsstatistik började produceras av Kommunförbundet 1991. 1999 övertog SCB ansvaret för undersökningen med namnet </w:t>
      </w:r>
      <w:r w:rsidR="00D735DB">
        <w:t>K</w:t>
      </w:r>
      <w:r>
        <w:t>onjunkturstatistik, löner för kommuner. Sedan 2001 har SCB producerat undersökningen på uppdrag av Medlingsinstitutet som är statistikansvarig myndighet inom arbetsmarknadsområdet</w:t>
      </w:r>
      <w:r w:rsidR="00D735DB">
        <w:t>.</w:t>
      </w:r>
    </w:p>
    <w:p w14:paraId="485EE5F1" w14:textId="77777777" w:rsidR="001634E3" w:rsidRPr="00FF0CB7" w:rsidRDefault="0081247B" w:rsidP="0077704B">
      <w:pPr>
        <w:pStyle w:val="Rubrik1"/>
        <w:ind w:left="680" w:hanging="680"/>
        <w:rPr>
          <w:sz w:val="24"/>
          <w:szCs w:val="22"/>
        </w:rPr>
      </w:pPr>
      <w:bookmarkStart w:id="237" w:name="_Toc467250894"/>
      <w:bookmarkStart w:id="238" w:name="_Toc467251726"/>
      <w:bookmarkStart w:id="239" w:name="_Toc467482262"/>
      <w:bookmarkStart w:id="240" w:name="_Toc67643770"/>
      <w:r w:rsidRPr="00FF0CB7">
        <w:rPr>
          <w:sz w:val="24"/>
          <w:szCs w:val="22"/>
        </w:rPr>
        <w:t>G</w:t>
      </w:r>
      <w:r w:rsidR="00C9452D" w:rsidRPr="00FF0CB7">
        <w:rPr>
          <w:sz w:val="24"/>
          <w:szCs w:val="22"/>
        </w:rPr>
        <w:tab/>
      </w:r>
      <w:r w:rsidR="001634E3" w:rsidRPr="00FF0CB7">
        <w:rPr>
          <w:sz w:val="24"/>
          <w:szCs w:val="22"/>
        </w:rPr>
        <w:t>Kontaktuppgifter</w:t>
      </w:r>
      <w:bookmarkEnd w:id="237"/>
      <w:bookmarkEnd w:id="238"/>
      <w:bookmarkEnd w:id="239"/>
      <w:bookmarkEnd w:id="240"/>
      <w:r w:rsidR="001634E3" w:rsidRPr="00FF0CB7">
        <w:rPr>
          <w:sz w:val="24"/>
          <w:szCs w:val="22"/>
        </w:rPr>
        <w:t xml:space="preserve"> </w:t>
      </w:r>
    </w:p>
    <w:p w14:paraId="7BA817C1" w14:textId="77777777" w:rsidR="009053FB" w:rsidRPr="003D42DA" w:rsidRDefault="009053FB" w:rsidP="00A21E9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4925"/>
      </w:tblGrid>
      <w:tr w:rsidR="001634E3" w:rsidRPr="00EB759A" w14:paraId="3E42989D" w14:textId="77777777" w:rsidTr="008846EB">
        <w:trPr>
          <w:trHeight w:hRule="exact" w:val="680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7AA432B5" w14:textId="77777777" w:rsidR="00D62BD4" w:rsidRPr="00711C8E" w:rsidRDefault="00C74743" w:rsidP="00711C8E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Statistikansvarig</w:t>
            </w:r>
            <w:r w:rsidR="00E43395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62BD4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myndighet</w:t>
            </w:r>
          </w:p>
        </w:tc>
        <w:tc>
          <w:tcPr>
            <w:tcW w:w="4925" w:type="dxa"/>
            <w:tcBorders>
              <w:bottom w:val="double" w:sz="4" w:space="0" w:color="auto"/>
            </w:tcBorders>
          </w:tcPr>
          <w:p w14:paraId="083A43AA" w14:textId="77777777" w:rsidR="001634E3" w:rsidRPr="009A6D15" w:rsidRDefault="00772189" w:rsidP="00212824">
            <w:pPr>
              <w:spacing w:before="240" w:line="276" w:lineRule="auto"/>
              <w:rPr>
                <w:iCs/>
              </w:rPr>
            </w:pPr>
            <w:r>
              <w:rPr>
                <w:iCs/>
              </w:rPr>
              <w:t>Medlingsinstitutet</w:t>
            </w:r>
          </w:p>
        </w:tc>
      </w:tr>
      <w:tr w:rsidR="001634E3" w:rsidRPr="00EB759A" w14:paraId="5351E7EC" w14:textId="77777777" w:rsidTr="008846EB">
        <w:trPr>
          <w:trHeight w:hRule="exact" w:val="680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1BE5A04B" w14:textId="77777777" w:rsidR="007A4829" w:rsidRPr="00711C8E" w:rsidRDefault="007B5B0B" w:rsidP="008846EB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Kontakt</w:t>
            </w:r>
            <w:r w:rsidR="00501D98"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information</w:t>
            </w:r>
          </w:p>
        </w:tc>
        <w:tc>
          <w:tcPr>
            <w:tcW w:w="4925" w:type="dxa"/>
            <w:tcBorders>
              <w:top w:val="double" w:sz="4" w:space="0" w:color="auto"/>
            </w:tcBorders>
            <w:vAlign w:val="center"/>
          </w:tcPr>
          <w:p w14:paraId="53432E3E" w14:textId="77777777" w:rsidR="001634E3" w:rsidRPr="009A6D15" w:rsidRDefault="00747283" w:rsidP="007B5B0B">
            <w:pPr>
              <w:spacing w:after="0" w:line="276" w:lineRule="auto"/>
              <w:rPr>
                <w:iCs/>
              </w:rPr>
            </w:pPr>
            <w:r>
              <w:rPr>
                <w:iCs/>
              </w:rPr>
              <w:t>Löner och arbetskostnader</w:t>
            </w:r>
          </w:p>
        </w:tc>
      </w:tr>
      <w:tr w:rsidR="001634E3" w:rsidRPr="00EB759A" w14:paraId="14FADC1F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083B3C0E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</w:rPr>
              <w:t>E-post</w:t>
            </w:r>
          </w:p>
        </w:tc>
        <w:tc>
          <w:tcPr>
            <w:tcW w:w="4925" w:type="dxa"/>
            <w:vAlign w:val="center"/>
          </w:tcPr>
          <w:p w14:paraId="637B871A" w14:textId="77777777" w:rsidR="001634E3" w:rsidRPr="009A6D15" w:rsidRDefault="00747283" w:rsidP="004240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lonestat@scb.se</w:t>
            </w:r>
          </w:p>
        </w:tc>
      </w:tr>
      <w:tr w:rsidR="001634E3" w:rsidRPr="00EB759A" w14:paraId="6439C75B" w14:textId="77777777" w:rsidTr="008846EB">
        <w:trPr>
          <w:trHeight w:hRule="exact" w:val="680"/>
        </w:trPr>
        <w:tc>
          <w:tcPr>
            <w:tcW w:w="2093" w:type="dxa"/>
            <w:vAlign w:val="center"/>
          </w:tcPr>
          <w:p w14:paraId="76DB4569" w14:textId="77777777" w:rsidR="001634E3" w:rsidRPr="00711C8E" w:rsidRDefault="007B5B0B" w:rsidP="008846EB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11C8E">
              <w:rPr>
                <w:rFonts w:ascii="Arial" w:hAnsi="Arial" w:cs="Arial"/>
                <w:b/>
                <w:i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925" w:type="dxa"/>
            <w:vAlign w:val="center"/>
          </w:tcPr>
          <w:p w14:paraId="5502B72B" w14:textId="77777777" w:rsidR="001634E3" w:rsidRPr="009A6D15" w:rsidRDefault="00772189" w:rsidP="004240C5">
            <w:pPr>
              <w:spacing w:line="276" w:lineRule="auto"/>
              <w:rPr>
                <w:iCs/>
              </w:rPr>
            </w:pPr>
            <w:r>
              <w:rPr>
                <w:iCs/>
              </w:rPr>
              <w:t>010-479 50 00 (Statistikservice)</w:t>
            </w:r>
          </w:p>
        </w:tc>
      </w:tr>
    </w:tbl>
    <w:p w14:paraId="17A1ECFD" w14:textId="77777777" w:rsidR="00251DEF" w:rsidRPr="008846EB" w:rsidRDefault="00251DEF" w:rsidP="008846EB">
      <w:pPr>
        <w:rPr>
          <w:lang w:eastAsia="sv-SE"/>
        </w:rPr>
      </w:pPr>
    </w:p>
    <w:sectPr w:rsidR="00251DEF" w:rsidRPr="008846EB" w:rsidSect="009133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134" w:left="2552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7046" w14:textId="77777777" w:rsidR="00933014" w:rsidRDefault="00933014" w:rsidP="0005368C">
      <w:r>
        <w:separator/>
      </w:r>
    </w:p>
  </w:endnote>
  <w:endnote w:type="continuationSeparator" w:id="0">
    <w:p w14:paraId="73D8E69A" w14:textId="77777777" w:rsidR="00933014" w:rsidRDefault="00933014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E382" w14:textId="77777777" w:rsidR="00933014" w:rsidRPr="0074142D" w:rsidRDefault="00933014" w:rsidP="00CE4874">
    <w:pPr>
      <w:pStyle w:val="Sidfot"/>
      <w:ind w:left="-192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6DA" w14:textId="77777777" w:rsidR="00933014" w:rsidRPr="000F3B13" w:rsidRDefault="00933014" w:rsidP="004D34B4">
    <w:pPr>
      <w:pStyle w:val="Sidfot"/>
      <w:ind w:left="-19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4022" w14:textId="77777777" w:rsidR="00933014" w:rsidRDefault="00933014" w:rsidP="0005368C"/>
  </w:footnote>
  <w:footnote w:type="continuationSeparator" w:id="0">
    <w:p w14:paraId="386544EF" w14:textId="77777777" w:rsidR="00933014" w:rsidRDefault="00933014" w:rsidP="0005368C">
      <w:r>
        <w:continuationSeparator/>
      </w:r>
    </w:p>
  </w:footnote>
  <w:footnote w:type="continuationNotice" w:id="1">
    <w:p w14:paraId="78DB130D" w14:textId="77777777" w:rsidR="00933014" w:rsidRDefault="00933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851"/>
      <w:gridCol w:w="1134"/>
    </w:tblGrid>
    <w:tr w:rsidR="00933014" w14:paraId="60E7FCF9" w14:textId="77777777" w:rsidTr="00913378">
      <w:tc>
        <w:tcPr>
          <w:tcW w:w="5669" w:type="dxa"/>
          <w:vMerge w:val="restart"/>
        </w:tcPr>
        <w:p w14:paraId="167F6604" w14:textId="77777777" w:rsidR="00933014" w:rsidRPr="00251DEF" w:rsidRDefault="00933014" w:rsidP="00F4196C">
          <w:pPr>
            <w:rPr>
              <w:sz w:val="18"/>
              <w:szCs w:val="18"/>
            </w:rPr>
          </w:pPr>
          <w:r w:rsidRPr="00251DEF">
            <w:rPr>
              <w:sz w:val="18"/>
              <w:szCs w:val="18"/>
            </w:rPr>
            <w:t>Statistikansvarig myndighet</w:t>
          </w:r>
        </w:p>
        <w:p w14:paraId="307972AF" w14:textId="77777777" w:rsidR="00933014" w:rsidRPr="005D744F" w:rsidRDefault="00933014" w:rsidP="00251DEF">
          <w:r>
            <w:t>Medlingsinstitutet</w:t>
          </w:r>
        </w:p>
      </w:tc>
      <w:tc>
        <w:tcPr>
          <w:tcW w:w="3402" w:type="dxa"/>
        </w:tcPr>
        <w:p w14:paraId="3E316523" w14:textId="77777777" w:rsidR="00933014" w:rsidRPr="00251DEF" w:rsidRDefault="00933014" w:rsidP="00251DEF">
          <w:pPr>
            <w:pStyle w:val="Sidhuvud"/>
            <w:spacing w:after="120"/>
            <w:rPr>
              <w:rFonts w:ascii="Arial" w:hAnsi="Arial" w:cs="Arial"/>
              <w:sz w:val="18"/>
              <w:szCs w:val="18"/>
            </w:rPr>
          </w:pPr>
          <w:r w:rsidRPr="00251DEF">
            <w:rPr>
              <w:sz w:val="18"/>
              <w:szCs w:val="18"/>
            </w:rPr>
            <w:t xml:space="preserve">Kvalitetsdeklaration </w:t>
          </w:r>
          <w:r>
            <w:rPr>
              <w:sz w:val="18"/>
              <w:szCs w:val="18"/>
            </w:rPr>
            <w:t>version 1</w:t>
          </w:r>
        </w:p>
      </w:tc>
      <w:tc>
        <w:tcPr>
          <w:tcW w:w="851" w:type="dxa"/>
        </w:tcPr>
        <w:p w14:paraId="0801C716" w14:textId="77777777" w:rsidR="00933014" w:rsidRPr="005B2B5B" w:rsidRDefault="00933014" w:rsidP="002F7EEC">
          <w:pPr>
            <w:pStyle w:val="Sidhuvud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</w:tcPr>
        <w:p w14:paraId="473F4287" w14:textId="77777777" w:rsidR="00933014" w:rsidRPr="00251DEF" w:rsidRDefault="00933014" w:rsidP="002F7EEC">
          <w:pPr>
            <w:pStyle w:val="Sidhuvud"/>
            <w:rPr>
              <w:sz w:val="18"/>
              <w:szCs w:val="18"/>
            </w:rPr>
          </w:pPr>
          <w:r w:rsidRPr="00251DEF">
            <w:rPr>
              <w:rFonts w:ascii="Arial" w:hAnsi="Arial" w:cs="Arial"/>
              <w:sz w:val="18"/>
              <w:szCs w:val="18"/>
            </w:rPr>
            <w:t>Sida</w:t>
          </w:r>
        </w:p>
      </w:tc>
    </w:tr>
    <w:tr w:rsidR="00933014" w14:paraId="67433D97" w14:textId="77777777" w:rsidTr="00913378">
      <w:tc>
        <w:tcPr>
          <w:tcW w:w="5669" w:type="dxa"/>
          <w:vMerge/>
        </w:tcPr>
        <w:p w14:paraId="3EE0C4AF" w14:textId="77777777" w:rsidR="00933014" w:rsidRDefault="00933014" w:rsidP="002F7EEC">
          <w:pPr>
            <w:pStyle w:val="Sidhuvud"/>
          </w:pPr>
        </w:p>
      </w:tc>
      <w:tc>
        <w:tcPr>
          <w:tcW w:w="3402" w:type="dxa"/>
          <w:vAlign w:val="center"/>
        </w:tcPr>
        <w:p w14:paraId="4FE63A73" w14:textId="510CAB5F" w:rsidR="00933014" w:rsidRPr="005B2B5B" w:rsidRDefault="00933014" w:rsidP="00B247CF">
          <w:pPr>
            <w:spacing w:after="0" w:line="240" w:lineRule="auto"/>
          </w:pPr>
          <w:r w:rsidRPr="00BA0C12">
            <w:t>202</w:t>
          </w:r>
          <w:r w:rsidR="004619E4" w:rsidRPr="00BA0C12">
            <w:t>4</w:t>
          </w:r>
          <w:r w:rsidRPr="00BA0C12">
            <w:t>-03-</w:t>
          </w:r>
          <w:r w:rsidR="004619E4" w:rsidRPr="00BA0C12">
            <w:t>28</w:t>
          </w:r>
        </w:p>
      </w:tc>
      <w:tc>
        <w:tcPr>
          <w:tcW w:w="851" w:type="dxa"/>
        </w:tcPr>
        <w:p w14:paraId="4E5D358D" w14:textId="77777777" w:rsidR="00933014" w:rsidRPr="005B2B5B" w:rsidRDefault="00933014" w:rsidP="00F4196C">
          <w:pPr>
            <w:spacing w:after="0"/>
          </w:pPr>
          <w:r w:rsidRPr="00D7233A">
            <w:rPr>
              <w:bCs/>
            </w:rPr>
            <w:t xml:space="preserve"> </w:t>
          </w:r>
        </w:p>
      </w:tc>
      <w:tc>
        <w:tcPr>
          <w:tcW w:w="1134" w:type="dxa"/>
        </w:tcPr>
        <w:p w14:paraId="68DC5203" w14:textId="2D3B9801" w:rsidR="00933014" w:rsidRDefault="00933014" w:rsidP="002F7EEC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31F5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C31F57">
            <w:rPr>
              <w:noProof/>
            </w:rPr>
            <w:t>10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933014" w14:paraId="78EEB352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199EB767" w14:textId="77777777" w:rsidR="00933014" w:rsidRDefault="00933014" w:rsidP="002F7EEC">
          <w:pPr>
            <w:pStyle w:val="Sidhuvud"/>
          </w:pPr>
        </w:p>
      </w:tc>
    </w:tr>
    <w:tr w:rsidR="00933014" w:rsidRPr="006B1232" w14:paraId="6D45E367" w14:textId="77777777" w:rsidTr="00913378">
      <w:trPr>
        <w:gridAfter w:val="3"/>
        <w:wAfter w:w="5330" w:type="dxa"/>
        <w:trHeight w:val="273"/>
      </w:trPr>
      <w:tc>
        <w:tcPr>
          <w:tcW w:w="5669" w:type="dxa"/>
          <w:vMerge/>
        </w:tcPr>
        <w:p w14:paraId="786246DF" w14:textId="77777777" w:rsidR="00933014" w:rsidRDefault="00933014" w:rsidP="002F7EEC">
          <w:pPr>
            <w:pStyle w:val="Sidhuvud"/>
          </w:pPr>
        </w:p>
      </w:tc>
    </w:tr>
  </w:tbl>
  <w:p w14:paraId="2D31D324" w14:textId="77777777" w:rsidR="00933014" w:rsidRPr="00E72EEA" w:rsidRDefault="00933014" w:rsidP="00251DEF">
    <w:pPr>
      <w:pStyle w:val="Sidhuvud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99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3032"/>
      <w:gridCol w:w="1668"/>
      <w:gridCol w:w="998"/>
    </w:tblGrid>
    <w:tr w:rsidR="00933014" w:rsidRPr="00731259" w14:paraId="4BE1674B" w14:textId="77777777" w:rsidTr="00731259">
      <w:tc>
        <w:tcPr>
          <w:tcW w:w="4959" w:type="dxa"/>
        </w:tcPr>
        <w:p w14:paraId="739A7900" w14:textId="77777777" w:rsidR="00933014" w:rsidRPr="00731259" w:rsidRDefault="00933014" w:rsidP="00731259">
          <w:pPr>
            <w:pStyle w:val="Ingetavstnd"/>
            <w:rPr>
              <w:rFonts w:ascii="Arial" w:hAnsi="Arial" w:cs="Arial"/>
              <w:iCs/>
              <w:sz w:val="14"/>
              <w:szCs w:val="14"/>
            </w:rPr>
          </w:pPr>
          <w:r w:rsidRPr="00731259">
            <w:rPr>
              <w:rFonts w:ascii="Arial" w:hAnsi="Arial" w:cs="Arial"/>
              <w:iCs/>
              <w:sz w:val="14"/>
              <w:szCs w:val="14"/>
            </w:rPr>
            <w:t>Statistikansvarig myndighet</w:t>
          </w:r>
        </w:p>
      </w:tc>
      <w:tc>
        <w:tcPr>
          <w:tcW w:w="2837" w:type="dxa"/>
          <w:vAlign w:val="center"/>
        </w:tcPr>
        <w:p w14:paraId="0820D835" w14:textId="77777777" w:rsidR="00933014" w:rsidRDefault="00933014" w:rsidP="00731259">
          <w:pPr>
            <w:spacing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Kvalitetsdeklaration version x</w:t>
          </w:r>
        </w:p>
      </w:tc>
      <w:tc>
        <w:tcPr>
          <w:tcW w:w="1561" w:type="dxa"/>
        </w:tcPr>
        <w:p w14:paraId="6F132F9C" w14:textId="77777777" w:rsidR="00933014" w:rsidRPr="005B2B5B" w:rsidRDefault="00933014" w:rsidP="00731259">
          <w:pPr>
            <w:spacing w:after="0"/>
          </w:pPr>
        </w:p>
      </w:tc>
      <w:tc>
        <w:tcPr>
          <w:tcW w:w="934" w:type="dxa"/>
        </w:tcPr>
        <w:p w14:paraId="4E166304" w14:textId="77777777" w:rsidR="00933014" w:rsidRPr="00731259" w:rsidRDefault="00933014" w:rsidP="00731259">
          <w:pPr>
            <w:pStyle w:val="Sidhuvud"/>
            <w:rPr>
              <w:rFonts w:ascii="Arial" w:hAnsi="Arial" w:cs="Arial"/>
              <w:sz w:val="14"/>
              <w:szCs w:val="14"/>
            </w:rPr>
          </w:pPr>
          <w:r w:rsidRPr="00731259">
            <w:rPr>
              <w:rFonts w:ascii="Arial" w:hAnsi="Arial" w:cs="Arial"/>
              <w:sz w:val="14"/>
              <w:szCs w:val="14"/>
            </w:rPr>
            <w:t>Sida</w:t>
          </w:r>
        </w:p>
      </w:tc>
    </w:tr>
    <w:tr w:rsidR="00933014" w14:paraId="2119FC2F" w14:textId="77777777" w:rsidTr="00731259">
      <w:tc>
        <w:tcPr>
          <w:tcW w:w="4959" w:type="dxa"/>
        </w:tcPr>
        <w:p w14:paraId="21449618" w14:textId="77777777" w:rsidR="00933014" w:rsidRPr="005726C5" w:rsidRDefault="00933014" w:rsidP="00731259">
          <w:pPr>
            <w:spacing w:after="0"/>
            <w:rPr>
              <w:iCs/>
            </w:rPr>
          </w:pPr>
          <w:r w:rsidRPr="005726C5">
            <w:rPr>
              <w:iCs/>
            </w:rPr>
            <w:t>&lt;Statistik</w:t>
          </w:r>
          <w:r>
            <w:rPr>
              <w:iCs/>
            </w:rPr>
            <w:t>ansvarig myndighet</w:t>
          </w:r>
          <w:r w:rsidRPr="005726C5">
            <w:rPr>
              <w:iCs/>
            </w:rPr>
            <w:t>&gt;</w:t>
          </w:r>
        </w:p>
      </w:tc>
      <w:tc>
        <w:tcPr>
          <w:tcW w:w="2837" w:type="dxa"/>
          <w:vAlign w:val="center"/>
        </w:tcPr>
        <w:p w14:paraId="5F3ED522" w14:textId="77777777" w:rsidR="00933014" w:rsidRPr="00F219F2" w:rsidRDefault="00933014" w:rsidP="004450F5">
          <w:pPr>
            <w:spacing w:after="0"/>
          </w:pPr>
          <w:r>
            <w:t>&lt;Datum för offentliggörande&gt;</w:t>
          </w:r>
        </w:p>
      </w:tc>
      <w:tc>
        <w:tcPr>
          <w:tcW w:w="1561" w:type="dxa"/>
        </w:tcPr>
        <w:p w14:paraId="08835EF5" w14:textId="77777777" w:rsidR="00933014" w:rsidRPr="005B2B5B" w:rsidRDefault="00933014" w:rsidP="00731259">
          <w:pPr>
            <w:spacing w:after="0"/>
          </w:pPr>
        </w:p>
      </w:tc>
      <w:tc>
        <w:tcPr>
          <w:tcW w:w="934" w:type="dxa"/>
        </w:tcPr>
        <w:p w14:paraId="32DE9C2B" w14:textId="77777777" w:rsidR="00933014" w:rsidRDefault="00933014" w:rsidP="00731259">
          <w:pPr>
            <w:pStyle w:val="Sidhuvud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933014" w:rsidRPr="005726C5" w14:paraId="0D7F2C5B" w14:textId="77777777" w:rsidTr="00731259">
      <w:tc>
        <w:tcPr>
          <w:tcW w:w="4959" w:type="dxa"/>
        </w:tcPr>
        <w:p w14:paraId="7CEC5363" w14:textId="77777777" w:rsidR="00933014" w:rsidRPr="005726C5" w:rsidRDefault="00933014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114805A3" w14:textId="77777777" w:rsidR="00933014" w:rsidRPr="005726C5" w:rsidRDefault="00933014" w:rsidP="00731259">
          <w:pPr>
            <w:pStyle w:val="Ingetavstnd"/>
          </w:pPr>
        </w:p>
      </w:tc>
      <w:tc>
        <w:tcPr>
          <w:tcW w:w="1561" w:type="dxa"/>
        </w:tcPr>
        <w:p w14:paraId="130CFDAF" w14:textId="77777777" w:rsidR="00933014" w:rsidRPr="005726C5" w:rsidRDefault="00933014" w:rsidP="00731259">
          <w:pPr>
            <w:pStyle w:val="Ingetavstnd"/>
          </w:pPr>
        </w:p>
      </w:tc>
      <w:tc>
        <w:tcPr>
          <w:tcW w:w="934" w:type="dxa"/>
        </w:tcPr>
        <w:p w14:paraId="746CD047" w14:textId="77777777" w:rsidR="00933014" w:rsidRPr="005726C5" w:rsidRDefault="00933014" w:rsidP="00731259">
          <w:pPr>
            <w:pStyle w:val="Ingetavstnd"/>
          </w:pPr>
        </w:p>
      </w:tc>
    </w:tr>
    <w:tr w:rsidR="00933014" w:rsidRPr="005726C5" w14:paraId="0A828AFF" w14:textId="77777777" w:rsidTr="00731259">
      <w:trPr>
        <w:trHeight w:val="80"/>
      </w:trPr>
      <w:tc>
        <w:tcPr>
          <w:tcW w:w="4959" w:type="dxa"/>
        </w:tcPr>
        <w:p w14:paraId="62D55C93" w14:textId="77777777" w:rsidR="00933014" w:rsidRPr="005726C5" w:rsidRDefault="00933014" w:rsidP="00731259">
          <w:pPr>
            <w:spacing w:after="0"/>
            <w:rPr>
              <w:iCs/>
            </w:rPr>
          </w:pPr>
        </w:p>
      </w:tc>
      <w:tc>
        <w:tcPr>
          <w:tcW w:w="2837" w:type="dxa"/>
        </w:tcPr>
        <w:p w14:paraId="2E4D521D" w14:textId="77777777" w:rsidR="00933014" w:rsidRPr="005726C5" w:rsidRDefault="00933014" w:rsidP="00731259">
          <w:pPr>
            <w:pStyle w:val="Ingetavstnd"/>
          </w:pPr>
        </w:p>
      </w:tc>
      <w:tc>
        <w:tcPr>
          <w:tcW w:w="1561" w:type="dxa"/>
        </w:tcPr>
        <w:p w14:paraId="6753ECC9" w14:textId="77777777" w:rsidR="00933014" w:rsidRPr="005726C5" w:rsidRDefault="00933014" w:rsidP="00731259">
          <w:pPr>
            <w:pStyle w:val="Ingetavstnd"/>
          </w:pPr>
        </w:p>
      </w:tc>
      <w:tc>
        <w:tcPr>
          <w:tcW w:w="934" w:type="dxa"/>
        </w:tcPr>
        <w:p w14:paraId="19AFDB73" w14:textId="77777777" w:rsidR="00933014" w:rsidRPr="005726C5" w:rsidRDefault="00933014" w:rsidP="00731259">
          <w:pPr>
            <w:pStyle w:val="Ingetavstnd"/>
          </w:pPr>
        </w:p>
      </w:tc>
    </w:tr>
  </w:tbl>
  <w:p w14:paraId="4D1AFF4D" w14:textId="77777777" w:rsidR="00933014" w:rsidRDefault="00933014"/>
  <w:p w14:paraId="1FC0FC53" w14:textId="77777777" w:rsidR="00933014" w:rsidRDefault="00933014"/>
  <w:p w14:paraId="499CBD57" w14:textId="77777777" w:rsidR="00933014" w:rsidRDefault="00933014"/>
  <w:p w14:paraId="1D188D7F" w14:textId="77777777" w:rsidR="00933014" w:rsidRPr="00E72EEA" w:rsidRDefault="00933014" w:rsidP="00E72EEA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5330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43583"/>
    <w:multiLevelType w:val="multilevel"/>
    <w:tmpl w:val="6346F904"/>
    <w:lvl w:ilvl="0">
      <w:start w:val="1"/>
      <w:numFmt w:val="decimal"/>
      <w:lvlText w:val="%1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13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13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3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8" w:hanging="13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C2653"/>
    <w:multiLevelType w:val="hybridMultilevel"/>
    <w:tmpl w:val="D72E8B28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F27A4"/>
    <w:multiLevelType w:val="hybridMultilevel"/>
    <w:tmpl w:val="DE5E6230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3FD1"/>
    <w:multiLevelType w:val="hybridMultilevel"/>
    <w:tmpl w:val="CE88F47E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3BC0"/>
    <w:multiLevelType w:val="hybridMultilevel"/>
    <w:tmpl w:val="E35CF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A2F21"/>
    <w:multiLevelType w:val="hybridMultilevel"/>
    <w:tmpl w:val="771CDC58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755F"/>
    <w:multiLevelType w:val="hybridMultilevel"/>
    <w:tmpl w:val="44027A00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D59A4"/>
    <w:multiLevelType w:val="hybridMultilevel"/>
    <w:tmpl w:val="5C2EC888"/>
    <w:lvl w:ilvl="0" w:tplc="717048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C1BC1"/>
    <w:multiLevelType w:val="multilevel"/>
    <w:tmpl w:val="AB3A648C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1997217">
    <w:abstractNumId w:val="1"/>
  </w:num>
  <w:num w:numId="2" w16cid:durableId="1355493798">
    <w:abstractNumId w:val="0"/>
  </w:num>
  <w:num w:numId="3" w16cid:durableId="7948718">
    <w:abstractNumId w:val="3"/>
  </w:num>
  <w:num w:numId="4" w16cid:durableId="2058819531">
    <w:abstractNumId w:val="2"/>
  </w:num>
  <w:num w:numId="5" w16cid:durableId="1950430626">
    <w:abstractNumId w:val="11"/>
  </w:num>
  <w:num w:numId="6" w16cid:durableId="1566600164">
    <w:abstractNumId w:val="8"/>
  </w:num>
  <w:num w:numId="7" w16cid:durableId="1481072386">
    <w:abstractNumId w:val="4"/>
  </w:num>
  <w:num w:numId="8" w16cid:durableId="604388853">
    <w:abstractNumId w:val="6"/>
  </w:num>
  <w:num w:numId="9" w16cid:durableId="523054584">
    <w:abstractNumId w:val="7"/>
  </w:num>
  <w:num w:numId="10" w16cid:durableId="24528102">
    <w:abstractNumId w:val="10"/>
  </w:num>
  <w:num w:numId="11" w16cid:durableId="318509916">
    <w:abstractNumId w:val="9"/>
  </w:num>
  <w:num w:numId="12" w16cid:durableId="16080783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C"/>
    <w:rsid w:val="0000286B"/>
    <w:rsid w:val="00002F2D"/>
    <w:rsid w:val="00014324"/>
    <w:rsid w:val="00014B0F"/>
    <w:rsid w:val="00016F68"/>
    <w:rsid w:val="00020BE9"/>
    <w:rsid w:val="0002141A"/>
    <w:rsid w:val="000232A7"/>
    <w:rsid w:val="00025BE1"/>
    <w:rsid w:val="00025C9C"/>
    <w:rsid w:val="00025D32"/>
    <w:rsid w:val="00033EEA"/>
    <w:rsid w:val="00034147"/>
    <w:rsid w:val="000350DB"/>
    <w:rsid w:val="00036681"/>
    <w:rsid w:val="00036A51"/>
    <w:rsid w:val="000373F8"/>
    <w:rsid w:val="00043101"/>
    <w:rsid w:val="000435C3"/>
    <w:rsid w:val="0004593F"/>
    <w:rsid w:val="00051910"/>
    <w:rsid w:val="00051EF7"/>
    <w:rsid w:val="00051FFC"/>
    <w:rsid w:val="0005368C"/>
    <w:rsid w:val="0005552B"/>
    <w:rsid w:val="000578DB"/>
    <w:rsid w:val="00057EF8"/>
    <w:rsid w:val="000613BC"/>
    <w:rsid w:val="00061A74"/>
    <w:rsid w:val="00062659"/>
    <w:rsid w:val="000650CB"/>
    <w:rsid w:val="000656D1"/>
    <w:rsid w:val="00066E12"/>
    <w:rsid w:val="00070CD7"/>
    <w:rsid w:val="00071A28"/>
    <w:rsid w:val="0007359B"/>
    <w:rsid w:val="00073A06"/>
    <w:rsid w:val="00073E0D"/>
    <w:rsid w:val="000777EE"/>
    <w:rsid w:val="00077FA6"/>
    <w:rsid w:val="00080CCB"/>
    <w:rsid w:val="0008182B"/>
    <w:rsid w:val="000865DF"/>
    <w:rsid w:val="000900BE"/>
    <w:rsid w:val="00092A3C"/>
    <w:rsid w:val="00093AD6"/>
    <w:rsid w:val="00093DAF"/>
    <w:rsid w:val="00093FBA"/>
    <w:rsid w:val="000A1D04"/>
    <w:rsid w:val="000A2DF9"/>
    <w:rsid w:val="000A3B68"/>
    <w:rsid w:val="000A5661"/>
    <w:rsid w:val="000B07F0"/>
    <w:rsid w:val="000B238A"/>
    <w:rsid w:val="000B3D3F"/>
    <w:rsid w:val="000B5818"/>
    <w:rsid w:val="000C0085"/>
    <w:rsid w:val="000C08A6"/>
    <w:rsid w:val="000C1F32"/>
    <w:rsid w:val="000C354C"/>
    <w:rsid w:val="000C5C83"/>
    <w:rsid w:val="000C6032"/>
    <w:rsid w:val="000C6234"/>
    <w:rsid w:val="000C7C58"/>
    <w:rsid w:val="000D2282"/>
    <w:rsid w:val="000D2F90"/>
    <w:rsid w:val="000D3E9A"/>
    <w:rsid w:val="000D4887"/>
    <w:rsid w:val="000D741C"/>
    <w:rsid w:val="000D7B94"/>
    <w:rsid w:val="000E021F"/>
    <w:rsid w:val="000E1189"/>
    <w:rsid w:val="000E5E99"/>
    <w:rsid w:val="000E6343"/>
    <w:rsid w:val="000F0420"/>
    <w:rsid w:val="000F079F"/>
    <w:rsid w:val="000F3B13"/>
    <w:rsid w:val="000F4FA5"/>
    <w:rsid w:val="0010062C"/>
    <w:rsid w:val="00101B68"/>
    <w:rsid w:val="0010201B"/>
    <w:rsid w:val="0010264E"/>
    <w:rsid w:val="001047D1"/>
    <w:rsid w:val="00105112"/>
    <w:rsid w:val="00107A62"/>
    <w:rsid w:val="001148D3"/>
    <w:rsid w:val="00115644"/>
    <w:rsid w:val="0011576B"/>
    <w:rsid w:val="001179DD"/>
    <w:rsid w:val="00117C69"/>
    <w:rsid w:val="0012452B"/>
    <w:rsid w:val="00126D46"/>
    <w:rsid w:val="00126F4C"/>
    <w:rsid w:val="00126FBF"/>
    <w:rsid w:val="00130769"/>
    <w:rsid w:val="00130DD7"/>
    <w:rsid w:val="00132038"/>
    <w:rsid w:val="001404D5"/>
    <w:rsid w:val="00141A1D"/>
    <w:rsid w:val="00145629"/>
    <w:rsid w:val="001459A8"/>
    <w:rsid w:val="0014724D"/>
    <w:rsid w:val="001509E5"/>
    <w:rsid w:val="001514ED"/>
    <w:rsid w:val="001561B3"/>
    <w:rsid w:val="00160827"/>
    <w:rsid w:val="001608B2"/>
    <w:rsid w:val="0016285E"/>
    <w:rsid w:val="001634E3"/>
    <w:rsid w:val="00164238"/>
    <w:rsid w:val="00166E2D"/>
    <w:rsid w:val="001675B7"/>
    <w:rsid w:val="001675BB"/>
    <w:rsid w:val="00172028"/>
    <w:rsid w:val="00172CB6"/>
    <w:rsid w:val="00174E41"/>
    <w:rsid w:val="001766FD"/>
    <w:rsid w:val="001807F9"/>
    <w:rsid w:val="001818E7"/>
    <w:rsid w:val="00183F9B"/>
    <w:rsid w:val="001853DB"/>
    <w:rsid w:val="001866C0"/>
    <w:rsid w:val="001871ED"/>
    <w:rsid w:val="00190567"/>
    <w:rsid w:val="00190F99"/>
    <w:rsid w:val="0019210A"/>
    <w:rsid w:val="00196656"/>
    <w:rsid w:val="001966CE"/>
    <w:rsid w:val="001A064F"/>
    <w:rsid w:val="001A4071"/>
    <w:rsid w:val="001A6D9F"/>
    <w:rsid w:val="001A7BBC"/>
    <w:rsid w:val="001B1B12"/>
    <w:rsid w:val="001B315D"/>
    <w:rsid w:val="001B3653"/>
    <w:rsid w:val="001B46C7"/>
    <w:rsid w:val="001B5006"/>
    <w:rsid w:val="001C25F4"/>
    <w:rsid w:val="001C6253"/>
    <w:rsid w:val="001D0474"/>
    <w:rsid w:val="001D0DE6"/>
    <w:rsid w:val="001D33A7"/>
    <w:rsid w:val="001D4DDE"/>
    <w:rsid w:val="001D4E56"/>
    <w:rsid w:val="001D6E13"/>
    <w:rsid w:val="001D7B6A"/>
    <w:rsid w:val="001E3661"/>
    <w:rsid w:val="001E3EDE"/>
    <w:rsid w:val="001E747D"/>
    <w:rsid w:val="001F18F8"/>
    <w:rsid w:val="001F2E76"/>
    <w:rsid w:val="001F39DF"/>
    <w:rsid w:val="001F499C"/>
    <w:rsid w:val="001F5168"/>
    <w:rsid w:val="001F5E0E"/>
    <w:rsid w:val="001F7343"/>
    <w:rsid w:val="002040D6"/>
    <w:rsid w:val="00207A89"/>
    <w:rsid w:val="00211646"/>
    <w:rsid w:val="00211F58"/>
    <w:rsid w:val="00212824"/>
    <w:rsid w:val="002128EC"/>
    <w:rsid w:val="0021388B"/>
    <w:rsid w:val="00215F9F"/>
    <w:rsid w:val="00220185"/>
    <w:rsid w:val="002213FB"/>
    <w:rsid w:val="00221719"/>
    <w:rsid w:val="00223125"/>
    <w:rsid w:val="00225A32"/>
    <w:rsid w:val="00226144"/>
    <w:rsid w:val="002268C9"/>
    <w:rsid w:val="00227BB7"/>
    <w:rsid w:val="00230A3E"/>
    <w:rsid w:val="0023148B"/>
    <w:rsid w:val="002329F7"/>
    <w:rsid w:val="00233163"/>
    <w:rsid w:val="002339B4"/>
    <w:rsid w:val="002356EF"/>
    <w:rsid w:val="00236B2B"/>
    <w:rsid w:val="00237A72"/>
    <w:rsid w:val="00237BDE"/>
    <w:rsid w:val="00242CC2"/>
    <w:rsid w:val="00245A72"/>
    <w:rsid w:val="00245E3E"/>
    <w:rsid w:val="0025042B"/>
    <w:rsid w:val="00251DEF"/>
    <w:rsid w:val="002534EC"/>
    <w:rsid w:val="002572CD"/>
    <w:rsid w:val="00257934"/>
    <w:rsid w:val="00264F36"/>
    <w:rsid w:val="00265A76"/>
    <w:rsid w:val="0026623A"/>
    <w:rsid w:val="00267A9D"/>
    <w:rsid w:val="0027033F"/>
    <w:rsid w:val="002704AB"/>
    <w:rsid w:val="0027411E"/>
    <w:rsid w:val="0027465C"/>
    <w:rsid w:val="0027726F"/>
    <w:rsid w:val="002774F2"/>
    <w:rsid w:val="00284F32"/>
    <w:rsid w:val="00284FF2"/>
    <w:rsid w:val="00286356"/>
    <w:rsid w:val="0029020C"/>
    <w:rsid w:val="00290411"/>
    <w:rsid w:val="002917F8"/>
    <w:rsid w:val="00291F5C"/>
    <w:rsid w:val="00293174"/>
    <w:rsid w:val="00294F93"/>
    <w:rsid w:val="00295CDB"/>
    <w:rsid w:val="00296C07"/>
    <w:rsid w:val="00296F27"/>
    <w:rsid w:val="002974AE"/>
    <w:rsid w:val="002976AD"/>
    <w:rsid w:val="00297962"/>
    <w:rsid w:val="002A06A2"/>
    <w:rsid w:val="002A0B12"/>
    <w:rsid w:val="002A1A15"/>
    <w:rsid w:val="002A364B"/>
    <w:rsid w:val="002A3CF4"/>
    <w:rsid w:val="002A3EAC"/>
    <w:rsid w:val="002A5B5D"/>
    <w:rsid w:val="002B0ED0"/>
    <w:rsid w:val="002B13E9"/>
    <w:rsid w:val="002B27AF"/>
    <w:rsid w:val="002B5301"/>
    <w:rsid w:val="002B7AD4"/>
    <w:rsid w:val="002C0AE6"/>
    <w:rsid w:val="002C1040"/>
    <w:rsid w:val="002C115C"/>
    <w:rsid w:val="002C1494"/>
    <w:rsid w:val="002C161E"/>
    <w:rsid w:val="002C1683"/>
    <w:rsid w:val="002C36DA"/>
    <w:rsid w:val="002C50D6"/>
    <w:rsid w:val="002C682C"/>
    <w:rsid w:val="002C752F"/>
    <w:rsid w:val="002D34B1"/>
    <w:rsid w:val="002D492F"/>
    <w:rsid w:val="002D7622"/>
    <w:rsid w:val="002D7BA1"/>
    <w:rsid w:val="002E0BEF"/>
    <w:rsid w:val="002E10E7"/>
    <w:rsid w:val="002E1C5A"/>
    <w:rsid w:val="002E2512"/>
    <w:rsid w:val="002E4D29"/>
    <w:rsid w:val="002E5797"/>
    <w:rsid w:val="002F0013"/>
    <w:rsid w:val="002F02ED"/>
    <w:rsid w:val="002F5FEE"/>
    <w:rsid w:val="002F7EEC"/>
    <w:rsid w:val="003002E6"/>
    <w:rsid w:val="00300671"/>
    <w:rsid w:val="003018DA"/>
    <w:rsid w:val="00302206"/>
    <w:rsid w:val="00302F2F"/>
    <w:rsid w:val="00303871"/>
    <w:rsid w:val="003045D8"/>
    <w:rsid w:val="00306A66"/>
    <w:rsid w:val="00306F19"/>
    <w:rsid w:val="003104A0"/>
    <w:rsid w:val="003123AE"/>
    <w:rsid w:val="00315011"/>
    <w:rsid w:val="00315A34"/>
    <w:rsid w:val="00316904"/>
    <w:rsid w:val="00316A9B"/>
    <w:rsid w:val="00317B4C"/>
    <w:rsid w:val="00320127"/>
    <w:rsid w:val="00320B7D"/>
    <w:rsid w:val="003211CC"/>
    <w:rsid w:val="0032443E"/>
    <w:rsid w:val="003246D2"/>
    <w:rsid w:val="00325A74"/>
    <w:rsid w:val="003270DE"/>
    <w:rsid w:val="003309D8"/>
    <w:rsid w:val="00332920"/>
    <w:rsid w:val="00333C48"/>
    <w:rsid w:val="00334144"/>
    <w:rsid w:val="00334C24"/>
    <w:rsid w:val="0033513F"/>
    <w:rsid w:val="00336BD0"/>
    <w:rsid w:val="003423B4"/>
    <w:rsid w:val="00343E75"/>
    <w:rsid w:val="00346E1C"/>
    <w:rsid w:val="00346EBE"/>
    <w:rsid w:val="0035025E"/>
    <w:rsid w:val="00353C6C"/>
    <w:rsid w:val="00354A96"/>
    <w:rsid w:val="00356CCD"/>
    <w:rsid w:val="00356D2F"/>
    <w:rsid w:val="003619E5"/>
    <w:rsid w:val="0036369F"/>
    <w:rsid w:val="003668F7"/>
    <w:rsid w:val="00370F33"/>
    <w:rsid w:val="0037313E"/>
    <w:rsid w:val="00374CE9"/>
    <w:rsid w:val="00376607"/>
    <w:rsid w:val="00377692"/>
    <w:rsid w:val="003779D0"/>
    <w:rsid w:val="00380E7C"/>
    <w:rsid w:val="0038122B"/>
    <w:rsid w:val="00381933"/>
    <w:rsid w:val="00381BA3"/>
    <w:rsid w:val="00382383"/>
    <w:rsid w:val="00384997"/>
    <w:rsid w:val="00387507"/>
    <w:rsid w:val="00387ED6"/>
    <w:rsid w:val="003900FB"/>
    <w:rsid w:val="003914F3"/>
    <w:rsid w:val="00393458"/>
    <w:rsid w:val="00397D14"/>
    <w:rsid w:val="003A650F"/>
    <w:rsid w:val="003A6A97"/>
    <w:rsid w:val="003B08C0"/>
    <w:rsid w:val="003B2852"/>
    <w:rsid w:val="003B2FB8"/>
    <w:rsid w:val="003B402C"/>
    <w:rsid w:val="003B684B"/>
    <w:rsid w:val="003B6BE5"/>
    <w:rsid w:val="003C2A7A"/>
    <w:rsid w:val="003C32D6"/>
    <w:rsid w:val="003C472E"/>
    <w:rsid w:val="003C68F7"/>
    <w:rsid w:val="003C6F47"/>
    <w:rsid w:val="003C79C6"/>
    <w:rsid w:val="003D0294"/>
    <w:rsid w:val="003D3258"/>
    <w:rsid w:val="003D42A0"/>
    <w:rsid w:val="003D42DA"/>
    <w:rsid w:val="003D6115"/>
    <w:rsid w:val="003D7E93"/>
    <w:rsid w:val="003E2ADB"/>
    <w:rsid w:val="003E2BDB"/>
    <w:rsid w:val="003E3A2E"/>
    <w:rsid w:val="003E7FE4"/>
    <w:rsid w:val="003F23C1"/>
    <w:rsid w:val="003F3387"/>
    <w:rsid w:val="003F6409"/>
    <w:rsid w:val="004015D3"/>
    <w:rsid w:val="00402CC3"/>
    <w:rsid w:val="0040460F"/>
    <w:rsid w:val="00406035"/>
    <w:rsid w:val="00411467"/>
    <w:rsid w:val="00412C93"/>
    <w:rsid w:val="0041365A"/>
    <w:rsid w:val="00420927"/>
    <w:rsid w:val="00421F2F"/>
    <w:rsid w:val="00422BF4"/>
    <w:rsid w:val="00423AF1"/>
    <w:rsid w:val="004240C5"/>
    <w:rsid w:val="0042692B"/>
    <w:rsid w:val="00426D48"/>
    <w:rsid w:val="004321F6"/>
    <w:rsid w:val="0043377B"/>
    <w:rsid w:val="00433B57"/>
    <w:rsid w:val="00434D2E"/>
    <w:rsid w:val="004400D3"/>
    <w:rsid w:val="00444F3B"/>
    <w:rsid w:val="004450F5"/>
    <w:rsid w:val="00445F5B"/>
    <w:rsid w:val="004516B4"/>
    <w:rsid w:val="0045173A"/>
    <w:rsid w:val="0045285D"/>
    <w:rsid w:val="004536FD"/>
    <w:rsid w:val="00455576"/>
    <w:rsid w:val="004619E4"/>
    <w:rsid w:val="00461A14"/>
    <w:rsid w:val="00461C0C"/>
    <w:rsid w:val="00461D6A"/>
    <w:rsid w:val="00464F2D"/>
    <w:rsid w:val="00466A78"/>
    <w:rsid w:val="00470B19"/>
    <w:rsid w:val="00471346"/>
    <w:rsid w:val="00471969"/>
    <w:rsid w:val="004724DB"/>
    <w:rsid w:val="004730BA"/>
    <w:rsid w:val="00474CE3"/>
    <w:rsid w:val="00474E25"/>
    <w:rsid w:val="004764FE"/>
    <w:rsid w:val="00477EED"/>
    <w:rsid w:val="00480E18"/>
    <w:rsid w:val="004820C8"/>
    <w:rsid w:val="004821B7"/>
    <w:rsid w:val="0048264A"/>
    <w:rsid w:val="00483AC0"/>
    <w:rsid w:val="00486001"/>
    <w:rsid w:val="00487B18"/>
    <w:rsid w:val="00487C23"/>
    <w:rsid w:val="00492F5F"/>
    <w:rsid w:val="004954DC"/>
    <w:rsid w:val="00496ACC"/>
    <w:rsid w:val="004A1770"/>
    <w:rsid w:val="004A2CEA"/>
    <w:rsid w:val="004A5039"/>
    <w:rsid w:val="004B10F0"/>
    <w:rsid w:val="004B4718"/>
    <w:rsid w:val="004B4CA4"/>
    <w:rsid w:val="004B4CAD"/>
    <w:rsid w:val="004B5530"/>
    <w:rsid w:val="004B5A42"/>
    <w:rsid w:val="004B659D"/>
    <w:rsid w:val="004B7CCC"/>
    <w:rsid w:val="004C0AD7"/>
    <w:rsid w:val="004C215A"/>
    <w:rsid w:val="004C2607"/>
    <w:rsid w:val="004C3202"/>
    <w:rsid w:val="004C5B78"/>
    <w:rsid w:val="004C6F1B"/>
    <w:rsid w:val="004C7019"/>
    <w:rsid w:val="004D14D8"/>
    <w:rsid w:val="004D196C"/>
    <w:rsid w:val="004D241D"/>
    <w:rsid w:val="004D2839"/>
    <w:rsid w:val="004D34B4"/>
    <w:rsid w:val="004D3856"/>
    <w:rsid w:val="004D6CAF"/>
    <w:rsid w:val="004E266A"/>
    <w:rsid w:val="004E372B"/>
    <w:rsid w:val="004E3FE7"/>
    <w:rsid w:val="004E4C3F"/>
    <w:rsid w:val="004E59AE"/>
    <w:rsid w:val="004F027C"/>
    <w:rsid w:val="004F2525"/>
    <w:rsid w:val="004F3045"/>
    <w:rsid w:val="004F3CC3"/>
    <w:rsid w:val="004F4C7A"/>
    <w:rsid w:val="004F4F11"/>
    <w:rsid w:val="004F5C33"/>
    <w:rsid w:val="00501D98"/>
    <w:rsid w:val="0050236D"/>
    <w:rsid w:val="005028F7"/>
    <w:rsid w:val="0050313C"/>
    <w:rsid w:val="00503EA7"/>
    <w:rsid w:val="00505AC3"/>
    <w:rsid w:val="00506159"/>
    <w:rsid w:val="00506FA9"/>
    <w:rsid w:val="005076A6"/>
    <w:rsid w:val="0051142A"/>
    <w:rsid w:val="00511FF5"/>
    <w:rsid w:val="005142AD"/>
    <w:rsid w:val="0051447F"/>
    <w:rsid w:val="005156BF"/>
    <w:rsid w:val="0051606B"/>
    <w:rsid w:val="005179E3"/>
    <w:rsid w:val="005208DD"/>
    <w:rsid w:val="00520E00"/>
    <w:rsid w:val="005219B2"/>
    <w:rsid w:val="00522D88"/>
    <w:rsid w:val="005252D2"/>
    <w:rsid w:val="00530A5F"/>
    <w:rsid w:val="00532B29"/>
    <w:rsid w:val="00532E87"/>
    <w:rsid w:val="00533741"/>
    <w:rsid w:val="00534194"/>
    <w:rsid w:val="005355A1"/>
    <w:rsid w:val="00537852"/>
    <w:rsid w:val="005378DA"/>
    <w:rsid w:val="005417B6"/>
    <w:rsid w:val="00541E7C"/>
    <w:rsid w:val="00541E94"/>
    <w:rsid w:val="005456F0"/>
    <w:rsid w:val="00545AF7"/>
    <w:rsid w:val="00545BCA"/>
    <w:rsid w:val="0054623F"/>
    <w:rsid w:val="00546288"/>
    <w:rsid w:val="00547D93"/>
    <w:rsid w:val="0055140C"/>
    <w:rsid w:val="00551CCA"/>
    <w:rsid w:val="00552217"/>
    <w:rsid w:val="00552962"/>
    <w:rsid w:val="00560C69"/>
    <w:rsid w:val="00561468"/>
    <w:rsid w:val="00561CBB"/>
    <w:rsid w:val="00563BB4"/>
    <w:rsid w:val="0056476D"/>
    <w:rsid w:val="00570D37"/>
    <w:rsid w:val="005726C5"/>
    <w:rsid w:val="0057279D"/>
    <w:rsid w:val="005727E6"/>
    <w:rsid w:val="005748EC"/>
    <w:rsid w:val="00575E14"/>
    <w:rsid w:val="00577D00"/>
    <w:rsid w:val="00577FC6"/>
    <w:rsid w:val="00580B33"/>
    <w:rsid w:val="00582C96"/>
    <w:rsid w:val="00585C80"/>
    <w:rsid w:val="005923AE"/>
    <w:rsid w:val="0059452E"/>
    <w:rsid w:val="00594786"/>
    <w:rsid w:val="005971FB"/>
    <w:rsid w:val="005A1019"/>
    <w:rsid w:val="005A3C47"/>
    <w:rsid w:val="005A484A"/>
    <w:rsid w:val="005A4AB5"/>
    <w:rsid w:val="005A7619"/>
    <w:rsid w:val="005B1515"/>
    <w:rsid w:val="005B2B5B"/>
    <w:rsid w:val="005B2E89"/>
    <w:rsid w:val="005B34BF"/>
    <w:rsid w:val="005B48CE"/>
    <w:rsid w:val="005B4C57"/>
    <w:rsid w:val="005B5601"/>
    <w:rsid w:val="005B69E0"/>
    <w:rsid w:val="005C0036"/>
    <w:rsid w:val="005C02F7"/>
    <w:rsid w:val="005C126E"/>
    <w:rsid w:val="005C13F1"/>
    <w:rsid w:val="005C18EA"/>
    <w:rsid w:val="005C3FDC"/>
    <w:rsid w:val="005D142C"/>
    <w:rsid w:val="005D1A1B"/>
    <w:rsid w:val="005D3CCE"/>
    <w:rsid w:val="005D4099"/>
    <w:rsid w:val="005D470A"/>
    <w:rsid w:val="005D6FCE"/>
    <w:rsid w:val="005E1879"/>
    <w:rsid w:val="005E2E6B"/>
    <w:rsid w:val="005E38EA"/>
    <w:rsid w:val="005E6CB8"/>
    <w:rsid w:val="005E7F68"/>
    <w:rsid w:val="005F1415"/>
    <w:rsid w:val="005F7412"/>
    <w:rsid w:val="005F7A81"/>
    <w:rsid w:val="006024C8"/>
    <w:rsid w:val="00602C3A"/>
    <w:rsid w:val="00603615"/>
    <w:rsid w:val="00604E34"/>
    <w:rsid w:val="0060549D"/>
    <w:rsid w:val="00611900"/>
    <w:rsid w:val="00612402"/>
    <w:rsid w:val="0061294B"/>
    <w:rsid w:val="00614274"/>
    <w:rsid w:val="0061447A"/>
    <w:rsid w:val="00616E14"/>
    <w:rsid w:val="006173AE"/>
    <w:rsid w:val="00617413"/>
    <w:rsid w:val="00624CE4"/>
    <w:rsid w:val="00626F38"/>
    <w:rsid w:val="00633297"/>
    <w:rsid w:val="00633A87"/>
    <w:rsid w:val="00633C85"/>
    <w:rsid w:val="00637130"/>
    <w:rsid w:val="00640308"/>
    <w:rsid w:val="00640E5C"/>
    <w:rsid w:val="00643261"/>
    <w:rsid w:val="00646E71"/>
    <w:rsid w:val="00652344"/>
    <w:rsid w:val="00653344"/>
    <w:rsid w:val="00657C05"/>
    <w:rsid w:val="006600CB"/>
    <w:rsid w:val="00660434"/>
    <w:rsid w:val="006648FE"/>
    <w:rsid w:val="00667E40"/>
    <w:rsid w:val="00676A09"/>
    <w:rsid w:val="00676A70"/>
    <w:rsid w:val="0067734D"/>
    <w:rsid w:val="006811C0"/>
    <w:rsid w:val="00682341"/>
    <w:rsid w:val="006846C7"/>
    <w:rsid w:val="00685035"/>
    <w:rsid w:val="0068534A"/>
    <w:rsid w:val="00686C96"/>
    <w:rsid w:val="00690C68"/>
    <w:rsid w:val="00694129"/>
    <w:rsid w:val="00694A3D"/>
    <w:rsid w:val="0069790D"/>
    <w:rsid w:val="006A0EB4"/>
    <w:rsid w:val="006A2FAC"/>
    <w:rsid w:val="006A626F"/>
    <w:rsid w:val="006B0456"/>
    <w:rsid w:val="006B1232"/>
    <w:rsid w:val="006B1843"/>
    <w:rsid w:val="006B1A7B"/>
    <w:rsid w:val="006B2EB1"/>
    <w:rsid w:val="006B377B"/>
    <w:rsid w:val="006B5E00"/>
    <w:rsid w:val="006B5FDE"/>
    <w:rsid w:val="006B6B25"/>
    <w:rsid w:val="006D0B7F"/>
    <w:rsid w:val="006D1C01"/>
    <w:rsid w:val="006D1E7D"/>
    <w:rsid w:val="006D4942"/>
    <w:rsid w:val="006D5329"/>
    <w:rsid w:val="006D73ED"/>
    <w:rsid w:val="006E026B"/>
    <w:rsid w:val="006E07E0"/>
    <w:rsid w:val="006E18C9"/>
    <w:rsid w:val="006E61A1"/>
    <w:rsid w:val="006E717E"/>
    <w:rsid w:val="006F01FC"/>
    <w:rsid w:val="006F3F63"/>
    <w:rsid w:val="006F464A"/>
    <w:rsid w:val="006F5F57"/>
    <w:rsid w:val="006F6376"/>
    <w:rsid w:val="006F74B8"/>
    <w:rsid w:val="006F7EF4"/>
    <w:rsid w:val="0070576E"/>
    <w:rsid w:val="00705EFF"/>
    <w:rsid w:val="00711C8E"/>
    <w:rsid w:val="00713B61"/>
    <w:rsid w:val="0071602D"/>
    <w:rsid w:val="0071701A"/>
    <w:rsid w:val="007173B2"/>
    <w:rsid w:val="00717CA5"/>
    <w:rsid w:val="007234BE"/>
    <w:rsid w:val="0072355F"/>
    <w:rsid w:val="00723D60"/>
    <w:rsid w:val="00723EAF"/>
    <w:rsid w:val="007253D8"/>
    <w:rsid w:val="00725781"/>
    <w:rsid w:val="00731259"/>
    <w:rsid w:val="00731A9E"/>
    <w:rsid w:val="00732299"/>
    <w:rsid w:val="00732841"/>
    <w:rsid w:val="007333C7"/>
    <w:rsid w:val="00735FEB"/>
    <w:rsid w:val="00737A40"/>
    <w:rsid w:val="00740310"/>
    <w:rsid w:val="0074142D"/>
    <w:rsid w:val="00743B8B"/>
    <w:rsid w:val="007471E7"/>
    <w:rsid w:val="00747283"/>
    <w:rsid w:val="007514BB"/>
    <w:rsid w:val="00751A16"/>
    <w:rsid w:val="007525B3"/>
    <w:rsid w:val="00753512"/>
    <w:rsid w:val="00757374"/>
    <w:rsid w:val="00757609"/>
    <w:rsid w:val="00757FA0"/>
    <w:rsid w:val="007616D7"/>
    <w:rsid w:val="00765AD6"/>
    <w:rsid w:val="00772189"/>
    <w:rsid w:val="00773E42"/>
    <w:rsid w:val="00773F48"/>
    <w:rsid w:val="0077594D"/>
    <w:rsid w:val="00775B08"/>
    <w:rsid w:val="0077704B"/>
    <w:rsid w:val="00777190"/>
    <w:rsid w:val="00780333"/>
    <w:rsid w:val="007837D8"/>
    <w:rsid w:val="00787360"/>
    <w:rsid w:val="007913AF"/>
    <w:rsid w:val="00791D0A"/>
    <w:rsid w:val="00792100"/>
    <w:rsid w:val="00792739"/>
    <w:rsid w:val="00794AB2"/>
    <w:rsid w:val="00795208"/>
    <w:rsid w:val="00795FF9"/>
    <w:rsid w:val="00796421"/>
    <w:rsid w:val="007964A4"/>
    <w:rsid w:val="0079761E"/>
    <w:rsid w:val="007A1BBE"/>
    <w:rsid w:val="007A359C"/>
    <w:rsid w:val="007A4829"/>
    <w:rsid w:val="007A4B33"/>
    <w:rsid w:val="007A5241"/>
    <w:rsid w:val="007A7885"/>
    <w:rsid w:val="007B2644"/>
    <w:rsid w:val="007B29C8"/>
    <w:rsid w:val="007B2A34"/>
    <w:rsid w:val="007B5482"/>
    <w:rsid w:val="007B5B0B"/>
    <w:rsid w:val="007B7FD8"/>
    <w:rsid w:val="007C2F7A"/>
    <w:rsid w:val="007C346C"/>
    <w:rsid w:val="007C51C8"/>
    <w:rsid w:val="007C6119"/>
    <w:rsid w:val="007C70FA"/>
    <w:rsid w:val="007D17EE"/>
    <w:rsid w:val="007D1A01"/>
    <w:rsid w:val="007E0014"/>
    <w:rsid w:val="007E0AA4"/>
    <w:rsid w:val="007E16AE"/>
    <w:rsid w:val="007E1E9B"/>
    <w:rsid w:val="007E62C6"/>
    <w:rsid w:val="007E7EEB"/>
    <w:rsid w:val="007F0B57"/>
    <w:rsid w:val="007F155D"/>
    <w:rsid w:val="007F1C52"/>
    <w:rsid w:val="007F21D5"/>
    <w:rsid w:val="007F58AE"/>
    <w:rsid w:val="007F59EA"/>
    <w:rsid w:val="00801CAB"/>
    <w:rsid w:val="00801FF1"/>
    <w:rsid w:val="00802619"/>
    <w:rsid w:val="00804930"/>
    <w:rsid w:val="00806E0A"/>
    <w:rsid w:val="008071C1"/>
    <w:rsid w:val="00807251"/>
    <w:rsid w:val="00811772"/>
    <w:rsid w:val="0081247B"/>
    <w:rsid w:val="00812756"/>
    <w:rsid w:val="0081278D"/>
    <w:rsid w:val="008166B4"/>
    <w:rsid w:val="00817F0B"/>
    <w:rsid w:val="00820621"/>
    <w:rsid w:val="00822998"/>
    <w:rsid w:val="00827053"/>
    <w:rsid w:val="00833FC6"/>
    <w:rsid w:val="00835A5F"/>
    <w:rsid w:val="00835E30"/>
    <w:rsid w:val="00835E7C"/>
    <w:rsid w:val="008365B3"/>
    <w:rsid w:val="00841D76"/>
    <w:rsid w:val="00852590"/>
    <w:rsid w:val="0085376A"/>
    <w:rsid w:val="00854CAF"/>
    <w:rsid w:val="00855D7F"/>
    <w:rsid w:val="008609BD"/>
    <w:rsid w:val="00861189"/>
    <w:rsid w:val="00861352"/>
    <w:rsid w:val="00862CDC"/>
    <w:rsid w:val="00863778"/>
    <w:rsid w:val="00866567"/>
    <w:rsid w:val="0086669D"/>
    <w:rsid w:val="008674EF"/>
    <w:rsid w:val="00867CD0"/>
    <w:rsid w:val="0087189F"/>
    <w:rsid w:val="008719C4"/>
    <w:rsid w:val="008747B2"/>
    <w:rsid w:val="00874D58"/>
    <w:rsid w:val="00876A25"/>
    <w:rsid w:val="00877DE3"/>
    <w:rsid w:val="008803FC"/>
    <w:rsid w:val="00880713"/>
    <w:rsid w:val="00881F65"/>
    <w:rsid w:val="008846EB"/>
    <w:rsid w:val="00887A60"/>
    <w:rsid w:val="0089022A"/>
    <w:rsid w:val="008925D1"/>
    <w:rsid w:val="00893BEB"/>
    <w:rsid w:val="00896606"/>
    <w:rsid w:val="00896693"/>
    <w:rsid w:val="00896C18"/>
    <w:rsid w:val="008A14DC"/>
    <w:rsid w:val="008A18AC"/>
    <w:rsid w:val="008A30EC"/>
    <w:rsid w:val="008A3A11"/>
    <w:rsid w:val="008A7DAE"/>
    <w:rsid w:val="008B0675"/>
    <w:rsid w:val="008B0F47"/>
    <w:rsid w:val="008B18F3"/>
    <w:rsid w:val="008B2218"/>
    <w:rsid w:val="008B4057"/>
    <w:rsid w:val="008B4754"/>
    <w:rsid w:val="008B78A7"/>
    <w:rsid w:val="008C0ED9"/>
    <w:rsid w:val="008C1FE2"/>
    <w:rsid w:val="008C6B09"/>
    <w:rsid w:val="008C7FFC"/>
    <w:rsid w:val="008D01FC"/>
    <w:rsid w:val="008D02B0"/>
    <w:rsid w:val="008D30B6"/>
    <w:rsid w:val="008D47EE"/>
    <w:rsid w:val="008D4A41"/>
    <w:rsid w:val="008D578C"/>
    <w:rsid w:val="008D6224"/>
    <w:rsid w:val="008D6AF5"/>
    <w:rsid w:val="008E3E66"/>
    <w:rsid w:val="008E4CCD"/>
    <w:rsid w:val="008F0A62"/>
    <w:rsid w:val="008F1417"/>
    <w:rsid w:val="008F144D"/>
    <w:rsid w:val="008F4E14"/>
    <w:rsid w:val="008F51CC"/>
    <w:rsid w:val="008F63CB"/>
    <w:rsid w:val="008F6869"/>
    <w:rsid w:val="008F6A60"/>
    <w:rsid w:val="008F6B60"/>
    <w:rsid w:val="00902423"/>
    <w:rsid w:val="00902B1E"/>
    <w:rsid w:val="009053FB"/>
    <w:rsid w:val="00905805"/>
    <w:rsid w:val="0090636E"/>
    <w:rsid w:val="00906EA0"/>
    <w:rsid w:val="00906F71"/>
    <w:rsid w:val="00910273"/>
    <w:rsid w:val="009113CA"/>
    <w:rsid w:val="00913378"/>
    <w:rsid w:val="009140C6"/>
    <w:rsid w:val="0091496B"/>
    <w:rsid w:val="009153E2"/>
    <w:rsid w:val="00917212"/>
    <w:rsid w:val="009179EB"/>
    <w:rsid w:val="00922401"/>
    <w:rsid w:val="009242DF"/>
    <w:rsid w:val="009302E9"/>
    <w:rsid w:val="009310E2"/>
    <w:rsid w:val="00931563"/>
    <w:rsid w:val="00931882"/>
    <w:rsid w:val="00931929"/>
    <w:rsid w:val="00932F34"/>
    <w:rsid w:val="00933014"/>
    <w:rsid w:val="00935723"/>
    <w:rsid w:val="009371EC"/>
    <w:rsid w:val="0094445D"/>
    <w:rsid w:val="00947A83"/>
    <w:rsid w:val="00952653"/>
    <w:rsid w:val="0095360B"/>
    <w:rsid w:val="00954934"/>
    <w:rsid w:val="00956B76"/>
    <w:rsid w:val="0096242E"/>
    <w:rsid w:val="00963ED8"/>
    <w:rsid w:val="00964CC2"/>
    <w:rsid w:val="009654DA"/>
    <w:rsid w:val="00967178"/>
    <w:rsid w:val="009706AA"/>
    <w:rsid w:val="00974B2F"/>
    <w:rsid w:val="00981986"/>
    <w:rsid w:val="009822C9"/>
    <w:rsid w:val="009823CA"/>
    <w:rsid w:val="00983134"/>
    <w:rsid w:val="00983263"/>
    <w:rsid w:val="009839FA"/>
    <w:rsid w:val="00984F93"/>
    <w:rsid w:val="0098722A"/>
    <w:rsid w:val="0099006D"/>
    <w:rsid w:val="00991ED1"/>
    <w:rsid w:val="00992197"/>
    <w:rsid w:val="00994BFD"/>
    <w:rsid w:val="00997DAC"/>
    <w:rsid w:val="009A251A"/>
    <w:rsid w:val="009A2F4A"/>
    <w:rsid w:val="009A4DC0"/>
    <w:rsid w:val="009B1300"/>
    <w:rsid w:val="009B5423"/>
    <w:rsid w:val="009C3D6E"/>
    <w:rsid w:val="009C61A1"/>
    <w:rsid w:val="009C75EB"/>
    <w:rsid w:val="009D1418"/>
    <w:rsid w:val="009D2A5C"/>
    <w:rsid w:val="009D2C5A"/>
    <w:rsid w:val="009D2DD5"/>
    <w:rsid w:val="009D5B50"/>
    <w:rsid w:val="009D630F"/>
    <w:rsid w:val="009E1E1B"/>
    <w:rsid w:val="009E2F39"/>
    <w:rsid w:val="009E38B6"/>
    <w:rsid w:val="009E3E0E"/>
    <w:rsid w:val="009E635B"/>
    <w:rsid w:val="009E6460"/>
    <w:rsid w:val="009E6860"/>
    <w:rsid w:val="009E7658"/>
    <w:rsid w:val="009F3157"/>
    <w:rsid w:val="009F53B6"/>
    <w:rsid w:val="009F681E"/>
    <w:rsid w:val="009F72F2"/>
    <w:rsid w:val="00A004E4"/>
    <w:rsid w:val="00A0165C"/>
    <w:rsid w:val="00A037B5"/>
    <w:rsid w:val="00A0398A"/>
    <w:rsid w:val="00A0521B"/>
    <w:rsid w:val="00A056D3"/>
    <w:rsid w:val="00A05F79"/>
    <w:rsid w:val="00A067F4"/>
    <w:rsid w:val="00A10F67"/>
    <w:rsid w:val="00A1169E"/>
    <w:rsid w:val="00A13D07"/>
    <w:rsid w:val="00A2010F"/>
    <w:rsid w:val="00A2126E"/>
    <w:rsid w:val="00A21E99"/>
    <w:rsid w:val="00A22A67"/>
    <w:rsid w:val="00A25A34"/>
    <w:rsid w:val="00A27AEF"/>
    <w:rsid w:val="00A31673"/>
    <w:rsid w:val="00A351DC"/>
    <w:rsid w:val="00A369D5"/>
    <w:rsid w:val="00A36ECF"/>
    <w:rsid w:val="00A3757F"/>
    <w:rsid w:val="00A37A92"/>
    <w:rsid w:val="00A42456"/>
    <w:rsid w:val="00A44DF5"/>
    <w:rsid w:val="00A50004"/>
    <w:rsid w:val="00A51CE8"/>
    <w:rsid w:val="00A52AB6"/>
    <w:rsid w:val="00A551F5"/>
    <w:rsid w:val="00A55A77"/>
    <w:rsid w:val="00A55DCA"/>
    <w:rsid w:val="00A55FDA"/>
    <w:rsid w:val="00A5638B"/>
    <w:rsid w:val="00A56D77"/>
    <w:rsid w:val="00A60321"/>
    <w:rsid w:val="00A62CC4"/>
    <w:rsid w:val="00A62E34"/>
    <w:rsid w:val="00A65C73"/>
    <w:rsid w:val="00A6662C"/>
    <w:rsid w:val="00A7150B"/>
    <w:rsid w:val="00A72677"/>
    <w:rsid w:val="00A72993"/>
    <w:rsid w:val="00A74379"/>
    <w:rsid w:val="00A768D4"/>
    <w:rsid w:val="00A80595"/>
    <w:rsid w:val="00A81B01"/>
    <w:rsid w:val="00A82D14"/>
    <w:rsid w:val="00A83B2B"/>
    <w:rsid w:val="00A90734"/>
    <w:rsid w:val="00A92B72"/>
    <w:rsid w:val="00A92D95"/>
    <w:rsid w:val="00A93AC2"/>
    <w:rsid w:val="00A96B6B"/>
    <w:rsid w:val="00A96F83"/>
    <w:rsid w:val="00AA019D"/>
    <w:rsid w:val="00AA0816"/>
    <w:rsid w:val="00AA23DD"/>
    <w:rsid w:val="00AA2B7E"/>
    <w:rsid w:val="00AA2F45"/>
    <w:rsid w:val="00AA3003"/>
    <w:rsid w:val="00AA342F"/>
    <w:rsid w:val="00AA522A"/>
    <w:rsid w:val="00AB10C7"/>
    <w:rsid w:val="00AB2998"/>
    <w:rsid w:val="00AB2A96"/>
    <w:rsid w:val="00AB4658"/>
    <w:rsid w:val="00AB552D"/>
    <w:rsid w:val="00AB5E38"/>
    <w:rsid w:val="00AC3A4F"/>
    <w:rsid w:val="00AC482C"/>
    <w:rsid w:val="00AC4EFF"/>
    <w:rsid w:val="00AC5AD3"/>
    <w:rsid w:val="00AC6E2A"/>
    <w:rsid w:val="00AC7D9B"/>
    <w:rsid w:val="00AD05A8"/>
    <w:rsid w:val="00AD09DE"/>
    <w:rsid w:val="00AD18AC"/>
    <w:rsid w:val="00AD2890"/>
    <w:rsid w:val="00AD572F"/>
    <w:rsid w:val="00AD6B4E"/>
    <w:rsid w:val="00AD7513"/>
    <w:rsid w:val="00AD796A"/>
    <w:rsid w:val="00AE0FBC"/>
    <w:rsid w:val="00AE52DB"/>
    <w:rsid w:val="00AE5FBC"/>
    <w:rsid w:val="00AE6347"/>
    <w:rsid w:val="00B00FC1"/>
    <w:rsid w:val="00B01559"/>
    <w:rsid w:val="00B03404"/>
    <w:rsid w:val="00B04251"/>
    <w:rsid w:val="00B10387"/>
    <w:rsid w:val="00B13036"/>
    <w:rsid w:val="00B20986"/>
    <w:rsid w:val="00B21DD3"/>
    <w:rsid w:val="00B2442C"/>
    <w:rsid w:val="00B247CF"/>
    <w:rsid w:val="00B255AD"/>
    <w:rsid w:val="00B25F34"/>
    <w:rsid w:val="00B2622D"/>
    <w:rsid w:val="00B27362"/>
    <w:rsid w:val="00B33464"/>
    <w:rsid w:val="00B349BD"/>
    <w:rsid w:val="00B35462"/>
    <w:rsid w:val="00B35EAD"/>
    <w:rsid w:val="00B3652A"/>
    <w:rsid w:val="00B41961"/>
    <w:rsid w:val="00B45074"/>
    <w:rsid w:val="00B45ABF"/>
    <w:rsid w:val="00B50E04"/>
    <w:rsid w:val="00B51A5F"/>
    <w:rsid w:val="00B53450"/>
    <w:rsid w:val="00B557A9"/>
    <w:rsid w:val="00B57B13"/>
    <w:rsid w:val="00B6149D"/>
    <w:rsid w:val="00B626A3"/>
    <w:rsid w:val="00B662AD"/>
    <w:rsid w:val="00B673CD"/>
    <w:rsid w:val="00B76363"/>
    <w:rsid w:val="00B779F3"/>
    <w:rsid w:val="00B845E9"/>
    <w:rsid w:val="00B85621"/>
    <w:rsid w:val="00B9042D"/>
    <w:rsid w:val="00B91090"/>
    <w:rsid w:val="00B95DF4"/>
    <w:rsid w:val="00BA0552"/>
    <w:rsid w:val="00BA0C12"/>
    <w:rsid w:val="00BA0F30"/>
    <w:rsid w:val="00BA19F4"/>
    <w:rsid w:val="00BA5860"/>
    <w:rsid w:val="00BA772D"/>
    <w:rsid w:val="00BA795F"/>
    <w:rsid w:val="00BA79E2"/>
    <w:rsid w:val="00BA7E13"/>
    <w:rsid w:val="00BC2EF7"/>
    <w:rsid w:val="00BC35E6"/>
    <w:rsid w:val="00BC3959"/>
    <w:rsid w:val="00BC7035"/>
    <w:rsid w:val="00BD1963"/>
    <w:rsid w:val="00BD1FFB"/>
    <w:rsid w:val="00BD2AFC"/>
    <w:rsid w:val="00BD33EE"/>
    <w:rsid w:val="00BD3A1D"/>
    <w:rsid w:val="00BD3FDD"/>
    <w:rsid w:val="00BD4432"/>
    <w:rsid w:val="00BD4B2C"/>
    <w:rsid w:val="00BD4E13"/>
    <w:rsid w:val="00BD5918"/>
    <w:rsid w:val="00BE0D08"/>
    <w:rsid w:val="00BE2FE3"/>
    <w:rsid w:val="00BF510B"/>
    <w:rsid w:val="00BF5E9B"/>
    <w:rsid w:val="00C0292B"/>
    <w:rsid w:val="00C044F1"/>
    <w:rsid w:val="00C05B6F"/>
    <w:rsid w:val="00C062EF"/>
    <w:rsid w:val="00C0687E"/>
    <w:rsid w:val="00C068F9"/>
    <w:rsid w:val="00C06E53"/>
    <w:rsid w:val="00C07FEF"/>
    <w:rsid w:val="00C11C40"/>
    <w:rsid w:val="00C11FD1"/>
    <w:rsid w:val="00C1225E"/>
    <w:rsid w:val="00C15D26"/>
    <w:rsid w:val="00C173E4"/>
    <w:rsid w:val="00C216E6"/>
    <w:rsid w:val="00C227EB"/>
    <w:rsid w:val="00C22920"/>
    <w:rsid w:val="00C23984"/>
    <w:rsid w:val="00C26AC0"/>
    <w:rsid w:val="00C304B5"/>
    <w:rsid w:val="00C30AF8"/>
    <w:rsid w:val="00C31F57"/>
    <w:rsid w:val="00C3390B"/>
    <w:rsid w:val="00C339C6"/>
    <w:rsid w:val="00C35097"/>
    <w:rsid w:val="00C36A4C"/>
    <w:rsid w:val="00C445B3"/>
    <w:rsid w:val="00C446E3"/>
    <w:rsid w:val="00C45503"/>
    <w:rsid w:val="00C5400F"/>
    <w:rsid w:val="00C55F1A"/>
    <w:rsid w:val="00C5695A"/>
    <w:rsid w:val="00C575FD"/>
    <w:rsid w:val="00C60199"/>
    <w:rsid w:val="00C606E8"/>
    <w:rsid w:val="00C60C56"/>
    <w:rsid w:val="00C624CF"/>
    <w:rsid w:val="00C63750"/>
    <w:rsid w:val="00C63F9A"/>
    <w:rsid w:val="00C65C37"/>
    <w:rsid w:val="00C66350"/>
    <w:rsid w:val="00C70FBA"/>
    <w:rsid w:val="00C71B78"/>
    <w:rsid w:val="00C74743"/>
    <w:rsid w:val="00C76A49"/>
    <w:rsid w:val="00C82E13"/>
    <w:rsid w:val="00C850FB"/>
    <w:rsid w:val="00C8551F"/>
    <w:rsid w:val="00C859EB"/>
    <w:rsid w:val="00C863A5"/>
    <w:rsid w:val="00C8780B"/>
    <w:rsid w:val="00C91AAA"/>
    <w:rsid w:val="00C925BE"/>
    <w:rsid w:val="00C9452D"/>
    <w:rsid w:val="00C957F1"/>
    <w:rsid w:val="00C95FB4"/>
    <w:rsid w:val="00C972F7"/>
    <w:rsid w:val="00CA0E94"/>
    <w:rsid w:val="00CA165D"/>
    <w:rsid w:val="00CA4970"/>
    <w:rsid w:val="00CA684C"/>
    <w:rsid w:val="00CB3A16"/>
    <w:rsid w:val="00CB51FF"/>
    <w:rsid w:val="00CB5CB3"/>
    <w:rsid w:val="00CB601B"/>
    <w:rsid w:val="00CC104E"/>
    <w:rsid w:val="00CC40AB"/>
    <w:rsid w:val="00CC69FB"/>
    <w:rsid w:val="00CC7C52"/>
    <w:rsid w:val="00CC7CF7"/>
    <w:rsid w:val="00CD28C2"/>
    <w:rsid w:val="00CD6BE1"/>
    <w:rsid w:val="00CD7AB4"/>
    <w:rsid w:val="00CE3514"/>
    <w:rsid w:val="00CE4874"/>
    <w:rsid w:val="00CE59A9"/>
    <w:rsid w:val="00CE5C3F"/>
    <w:rsid w:val="00CE6C1C"/>
    <w:rsid w:val="00CE7A17"/>
    <w:rsid w:val="00CF0EDA"/>
    <w:rsid w:val="00CF19BB"/>
    <w:rsid w:val="00CF2F52"/>
    <w:rsid w:val="00CF6D21"/>
    <w:rsid w:val="00D03D90"/>
    <w:rsid w:val="00D04236"/>
    <w:rsid w:val="00D04412"/>
    <w:rsid w:val="00D059CF"/>
    <w:rsid w:val="00D0647B"/>
    <w:rsid w:val="00D07FE1"/>
    <w:rsid w:val="00D1165E"/>
    <w:rsid w:val="00D11A83"/>
    <w:rsid w:val="00D14797"/>
    <w:rsid w:val="00D16473"/>
    <w:rsid w:val="00D224AD"/>
    <w:rsid w:val="00D2293E"/>
    <w:rsid w:val="00D25135"/>
    <w:rsid w:val="00D27F17"/>
    <w:rsid w:val="00D3039F"/>
    <w:rsid w:val="00D31492"/>
    <w:rsid w:val="00D3428B"/>
    <w:rsid w:val="00D348AB"/>
    <w:rsid w:val="00D34E83"/>
    <w:rsid w:val="00D41513"/>
    <w:rsid w:val="00D42B97"/>
    <w:rsid w:val="00D45654"/>
    <w:rsid w:val="00D4633E"/>
    <w:rsid w:val="00D4773B"/>
    <w:rsid w:val="00D50AFD"/>
    <w:rsid w:val="00D53640"/>
    <w:rsid w:val="00D53B22"/>
    <w:rsid w:val="00D54C7C"/>
    <w:rsid w:val="00D5754A"/>
    <w:rsid w:val="00D6191D"/>
    <w:rsid w:val="00D62BD4"/>
    <w:rsid w:val="00D633BC"/>
    <w:rsid w:val="00D63A1D"/>
    <w:rsid w:val="00D7079F"/>
    <w:rsid w:val="00D7233A"/>
    <w:rsid w:val="00D735DB"/>
    <w:rsid w:val="00D74008"/>
    <w:rsid w:val="00D74F3C"/>
    <w:rsid w:val="00D75AA2"/>
    <w:rsid w:val="00D77101"/>
    <w:rsid w:val="00D83158"/>
    <w:rsid w:val="00D837F8"/>
    <w:rsid w:val="00D83C1E"/>
    <w:rsid w:val="00D84DAB"/>
    <w:rsid w:val="00D85DD2"/>
    <w:rsid w:val="00D905B3"/>
    <w:rsid w:val="00D9081C"/>
    <w:rsid w:val="00D90F85"/>
    <w:rsid w:val="00D94298"/>
    <w:rsid w:val="00D951AA"/>
    <w:rsid w:val="00D95E9A"/>
    <w:rsid w:val="00DA1D1F"/>
    <w:rsid w:val="00DA28CA"/>
    <w:rsid w:val="00DA3FE9"/>
    <w:rsid w:val="00DA473D"/>
    <w:rsid w:val="00DA56BF"/>
    <w:rsid w:val="00DA7F7D"/>
    <w:rsid w:val="00DB001D"/>
    <w:rsid w:val="00DB2073"/>
    <w:rsid w:val="00DB3B2F"/>
    <w:rsid w:val="00DB40EE"/>
    <w:rsid w:val="00DB739E"/>
    <w:rsid w:val="00DC0690"/>
    <w:rsid w:val="00DC10FE"/>
    <w:rsid w:val="00DC380C"/>
    <w:rsid w:val="00DC3880"/>
    <w:rsid w:val="00DC6BF3"/>
    <w:rsid w:val="00DD2D33"/>
    <w:rsid w:val="00DD3885"/>
    <w:rsid w:val="00DD4876"/>
    <w:rsid w:val="00DE3B84"/>
    <w:rsid w:val="00DE741B"/>
    <w:rsid w:val="00DF0CAD"/>
    <w:rsid w:val="00DF27F6"/>
    <w:rsid w:val="00DF694B"/>
    <w:rsid w:val="00DF6E8D"/>
    <w:rsid w:val="00E01897"/>
    <w:rsid w:val="00E02539"/>
    <w:rsid w:val="00E0284A"/>
    <w:rsid w:val="00E03592"/>
    <w:rsid w:val="00E03A3E"/>
    <w:rsid w:val="00E03B0E"/>
    <w:rsid w:val="00E107C4"/>
    <w:rsid w:val="00E12449"/>
    <w:rsid w:val="00E147B4"/>
    <w:rsid w:val="00E1617B"/>
    <w:rsid w:val="00E16BBB"/>
    <w:rsid w:val="00E20333"/>
    <w:rsid w:val="00E20387"/>
    <w:rsid w:val="00E21ACA"/>
    <w:rsid w:val="00E24DEC"/>
    <w:rsid w:val="00E25C92"/>
    <w:rsid w:val="00E26C1A"/>
    <w:rsid w:val="00E33723"/>
    <w:rsid w:val="00E34DEA"/>
    <w:rsid w:val="00E35460"/>
    <w:rsid w:val="00E36321"/>
    <w:rsid w:val="00E410CF"/>
    <w:rsid w:val="00E413D4"/>
    <w:rsid w:val="00E43395"/>
    <w:rsid w:val="00E43AAA"/>
    <w:rsid w:val="00E452B8"/>
    <w:rsid w:val="00E465E2"/>
    <w:rsid w:val="00E50E48"/>
    <w:rsid w:val="00E56501"/>
    <w:rsid w:val="00E60B99"/>
    <w:rsid w:val="00E61AF8"/>
    <w:rsid w:val="00E6542E"/>
    <w:rsid w:val="00E66AE4"/>
    <w:rsid w:val="00E717B7"/>
    <w:rsid w:val="00E719F7"/>
    <w:rsid w:val="00E72EEA"/>
    <w:rsid w:val="00E749FD"/>
    <w:rsid w:val="00E74E82"/>
    <w:rsid w:val="00E81494"/>
    <w:rsid w:val="00E824FA"/>
    <w:rsid w:val="00E82F07"/>
    <w:rsid w:val="00E847B2"/>
    <w:rsid w:val="00E870A9"/>
    <w:rsid w:val="00E91D7C"/>
    <w:rsid w:val="00E920D8"/>
    <w:rsid w:val="00E928B5"/>
    <w:rsid w:val="00E930B8"/>
    <w:rsid w:val="00E94582"/>
    <w:rsid w:val="00E96330"/>
    <w:rsid w:val="00E96FC1"/>
    <w:rsid w:val="00EA2895"/>
    <w:rsid w:val="00EA3658"/>
    <w:rsid w:val="00EA3698"/>
    <w:rsid w:val="00EA6CB8"/>
    <w:rsid w:val="00EA7769"/>
    <w:rsid w:val="00EB16B2"/>
    <w:rsid w:val="00EB180C"/>
    <w:rsid w:val="00EB1E6C"/>
    <w:rsid w:val="00EB2540"/>
    <w:rsid w:val="00EB65A5"/>
    <w:rsid w:val="00EB759A"/>
    <w:rsid w:val="00EC3AA8"/>
    <w:rsid w:val="00EC3C33"/>
    <w:rsid w:val="00EC3C7A"/>
    <w:rsid w:val="00EC4F2C"/>
    <w:rsid w:val="00EC579F"/>
    <w:rsid w:val="00EC5A38"/>
    <w:rsid w:val="00ED2684"/>
    <w:rsid w:val="00ED3660"/>
    <w:rsid w:val="00ED5492"/>
    <w:rsid w:val="00ED6504"/>
    <w:rsid w:val="00ED66BD"/>
    <w:rsid w:val="00EE121C"/>
    <w:rsid w:val="00EE3779"/>
    <w:rsid w:val="00EE450C"/>
    <w:rsid w:val="00EE55C0"/>
    <w:rsid w:val="00EE5CA6"/>
    <w:rsid w:val="00EE67B5"/>
    <w:rsid w:val="00EE7C2D"/>
    <w:rsid w:val="00EE7F4E"/>
    <w:rsid w:val="00EF075F"/>
    <w:rsid w:val="00EF1FFD"/>
    <w:rsid w:val="00EF2020"/>
    <w:rsid w:val="00EF2589"/>
    <w:rsid w:val="00EF30D0"/>
    <w:rsid w:val="00EF5A24"/>
    <w:rsid w:val="00EF60E5"/>
    <w:rsid w:val="00EF7F13"/>
    <w:rsid w:val="00F00986"/>
    <w:rsid w:val="00F034B9"/>
    <w:rsid w:val="00F04295"/>
    <w:rsid w:val="00F069EA"/>
    <w:rsid w:val="00F1023E"/>
    <w:rsid w:val="00F12137"/>
    <w:rsid w:val="00F130C3"/>
    <w:rsid w:val="00F13199"/>
    <w:rsid w:val="00F1331C"/>
    <w:rsid w:val="00F13C41"/>
    <w:rsid w:val="00F140B4"/>
    <w:rsid w:val="00F17AA9"/>
    <w:rsid w:val="00F219F2"/>
    <w:rsid w:val="00F21BF8"/>
    <w:rsid w:val="00F25329"/>
    <w:rsid w:val="00F326F5"/>
    <w:rsid w:val="00F33CF7"/>
    <w:rsid w:val="00F33E8A"/>
    <w:rsid w:val="00F35C6D"/>
    <w:rsid w:val="00F369A2"/>
    <w:rsid w:val="00F36D1B"/>
    <w:rsid w:val="00F37BD3"/>
    <w:rsid w:val="00F4132D"/>
    <w:rsid w:val="00F4196C"/>
    <w:rsid w:val="00F419E4"/>
    <w:rsid w:val="00F446F9"/>
    <w:rsid w:val="00F4762A"/>
    <w:rsid w:val="00F5052C"/>
    <w:rsid w:val="00F51100"/>
    <w:rsid w:val="00F51B4E"/>
    <w:rsid w:val="00F51B55"/>
    <w:rsid w:val="00F52887"/>
    <w:rsid w:val="00F52B0A"/>
    <w:rsid w:val="00F549AF"/>
    <w:rsid w:val="00F54AD2"/>
    <w:rsid w:val="00F559AA"/>
    <w:rsid w:val="00F56AE4"/>
    <w:rsid w:val="00F624A1"/>
    <w:rsid w:val="00F62E24"/>
    <w:rsid w:val="00F63C31"/>
    <w:rsid w:val="00F66900"/>
    <w:rsid w:val="00F73147"/>
    <w:rsid w:val="00F73227"/>
    <w:rsid w:val="00F73986"/>
    <w:rsid w:val="00F73AB3"/>
    <w:rsid w:val="00F7495F"/>
    <w:rsid w:val="00F74F74"/>
    <w:rsid w:val="00F76674"/>
    <w:rsid w:val="00F81AAF"/>
    <w:rsid w:val="00F8327E"/>
    <w:rsid w:val="00F84B84"/>
    <w:rsid w:val="00F92118"/>
    <w:rsid w:val="00F92388"/>
    <w:rsid w:val="00F93E36"/>
    <w:rsid w:val="00FA0FC7"/>
    <w:rsid w:val="00FA4E5F"/>
    <w:rsid w:val="00FA5E96"/>
    <w:rsid w:val="00FA7AAE"/>
    <w:rsid w:val="00FA7FF4"/>
    <w:rsid w:val="00FB058A"/>
    <w:rsid w:val="00FB2752"/>
    <w:rsid w:val="00FB310A"/>
    <w:rsid w:val="00FB3E89"/>
    <w:rsid w:val="00FB7E15"/>
    <w:rsid w:val="00FC1132"/>
    <w:rsid w:val="00FC1330"/>
    <w:rsid w:val="00FC2601"/>
    <w:rsid w:val="00FC2729"/>
    <w:rsid w:val="00FC3BC1"/>
    <w:rsid w:val="00FC4F0B"/>
    <w:rsid w:val="00FC5B77"/>
    <w:rsid w:val="00FC616D"/>
    <w:rsid w:val="00FC629F"/>
    <w:rsid w:val="00FC7235"/>
    <w:rsid w:val="00FC7268"/>
    <w:rsid w:val="00FD1C2B"/>
    <w:rsid w:val="00FD1D03"/>
    <w:rsid w:val="00FD1DA9"/>
    <w:rsid w:val="00FE054C"/>
    <w:rsid w:val="00FE14C9"/>
    <w:rsid w:val="00FE5015"/>
    <w:rsid w:val="00FE640C"/>
    <w:rsid w:val="00FE6E79"/>
    <w:rsid w:val="00FE7F8F"/>
    <w:rsid w:val="00FF0CB7"/>
    <w:rsid w:val="00FF33DF"/>
    <w:rsid w:val="00FF5031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FB1E18A"/>
  <w15:docId w15:val="{B2324DB9-A00F-4899-8AF1-F5CC6A3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A5"/>
    <w:pPr>
      <w:spacing w:after="120" w:line="260" w:lineRule="atLeast"/>
    </w:pPr>
    <w:rPr>
      <w:rFonts w:ascii="Book Antiqua" w:hAnsi="Book Antiqua"/>
    </w:rPr>
  </w:style>
  <w:style w:type="paragraph" w:styleId="Rubrik1">
    <w:name w:val="heading 1"/>
    <w:basedOn w:val="Normal"/>
    <w:next w:val="Normal"/>
    <w:link w:val="Rubrik1Char"/>
    <w:uiPriority w:val="9"/>
    <w:qFormat/>
    <w:rsid w:val="006E026B"/>
    <w:pPr>
      <w:keepNext/>
      <w:keepLines/>
      <w:spacing w:before="240" w:after="4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122B"/>
    <w:pPr>
      <w:keepNext/>
      <w:keepLines/>
      <w:spacing w:before="12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122B"/>
    <w:pPr>
      <w:keepNext/>
      <w:keepLines/>
      <w:spacing w:before="120" w:after="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8122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122B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14BB"/>
    <w:rPr>
      <w:rFonts w:ascii="Palatino" w:hAnsi="Palatino"/>
      <w:sz w:val="20"/>
    </w:rPr>
  </w:style>
  <w:style w:type="paragraph" w:styleId="Sidfot">
    <w:name w:val="footer"/>
    <w:aliases w:val="Sidfot 1"/>
    <w:basedOn w:val="Normal"/>
    <w:link w:val="SidfotChar"/>
    <w:unhideWhenUsed/>
    <w:rsid w:val="007514B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aliases w:val="Sidfot 1 Char"/>
    <w:basedOn w:val="Standardstycketeckensnitt"/>
    <w:link w:val="Sidfot"/>
    <w:rsid w:val="007514BB"/>
    <w:rPr>
      <w:rFonts w:ascii="Palatino" w:hAnsi="Palatino"/>
      <w:sz w:val="20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E026B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7726F"/>
    <w:pPr>
      <w:keepNext/>
      <w:keepLines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7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7514BB"/>
    <w:pPr>
      <w:spacing w:after="0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qFormat/>
    <w:rsid w:val="003D0294"/>
    <w:pPr>
      <w:spacing w:before="120" w:after="0"/>
    </w:pPr>
    <w:rPr>
      <w:rFonts w:ascii="Arial" w:hAnsi="Arial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qFormat/>
    <w:rsid w:val="003D0294"/>
    <w:pPr>
      <w:tabs>
        <w:tab w:val="left" w:pos="660"/>
        <w:tab w:val="right" w:leader="dot" w:pos="7643"/>
      </w:tabs>
      <w:spacing w:before="60" w:after="0"/>
      <w:ind w:left="221"/>
    </w:pPr>
    <w:rPr>
      <w:rFonts w:ascii="Arial" w:hAnsi="Arial"/>
      <w:noProof/>
      <w:sz w:val="18"/>
      <w:szCs w:val="20"/>
    </w:rPr>
  </w:style>
  <w:style w:type="paragraph" w:styleId="Innehll3">
    <w:name w:val="toc 3"/>
    <w:basedOn w:val="Normal"/>
    <w:next w:val="Normal"/>
    <w:autoRedefine/>
    <w:uiPriority w:val="39"/>
    <w:qFormat/>
    <w:rsid w:val="00DB3B2F"/>
    <w:pPr>
      <w:spacing w:before="20" w:after="0"/>
      <w:ind w:left="442"/>
    </w:pPr>
    <w:rPr>
      <w:rFonts w:ascii="Arial" w:hAnsi="Arial"/>
      <w:iCs/>
      <w:sz w:val="18"/>
      <w:szCs w:val="20"/>
    </w:rPr>
  </w:style>
  <w:style w:type="paragraph" w:styleId="Innehll4">
    <w:name w:val="toc 4"/>
    <w:basedOn w:val="Underrubrik"/>
    <w:next w:val="Underrubrik"/>
    <w:autoRedefine/>
    <w:uiPriority w:val="39"/>
    <w:rsid w:val="00DB3B2F"/>
    <w:pPr>
      <w:keepNext w:val="0"/>
      <w:keepLines w:val="0"/>
      <w:spacing w:after="0"/>
      <w:ind w:left="660"/>
    </w:pPr>
    <w:rPr>
      <w:rFonts w:ascii="Arial" w:eastAsiaTheme="minorHAnsi" w:hAnsi="Arial" w:cstheme="minorBidi"/>
      <w:iCs w:val="0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B2736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B2736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B2736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B2736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B27362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Numreradlista">
    <w:name w:val="List Number"/>
    <w:basedOn w:val="Normal"/>
    <w:uiPriority w:val="99"/>
    <w:qFormat/>
    <w:rsid w:val="00093AD6"/>
    <w:pPr>
      <w:numPr>
        <w:numId w:val="2"/>
      </w:numPr>
      <w:contextualSpacing/>
    </w:pPr>
  </w:style>
  <w:style w:type="table" w:styleId="Tabellrutnt">
    <w:name w:val="Table Grid"/>
    <w:basedOn w:val="Normaltabell"/>
    <w:uiPriority w:val="5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2B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B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14797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0D7B94"/>
    <w:rPr>
      <w:color w:val="0000FF" w:themeColor="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514BB"/>
    <w:rPr>
      <w:rFonts w:ascii="Palatino" w:hAnsi="Palatino"/>
      <w:sz w:val="20"/>
    </w:rPr>
  </w:style>
  <w:style w:type="paragraph" w:styleId="Beskrivning">
    <w:name w:val="caption"/>
    <w:basedOn w:val="Normal"/>
    <w:next w:val="Normal"/>
    <w:uiPriority w:val="35"/>
    <w:qFormat/>
    <w:rsid w:val="00617413"/>
    <w:pPr>
      <w:framePr w:hSpace="187" w:wrap="around" w:hAnchor="page" w:x="2002" w:y="4066"/>
      <w:spacing w:line="300" w:lineRule="atLeast"/>
    </w:pPr>
    <w:rPr>
      <w:rFonts w:ascii="Arial" w:eastAsiaTheme="majorEastAsia" w:hAnsi="Arial" w:cs="Arial"/>
      <w:color w:val="1F497D" w:themeColor="text2"/>
      <w:sz w:val="24"/>
      <w:szCs w:val="24"/>
      <w:lang w:val="en-GB" w:eastAsia="zh-TW"/>
    </w:rPr>
  </w:style>
  <w:style w:type="paragraph" w:styleId="Fotnotstext">
    <w:name w:val="footnote text"/>
    <w:basedOn w:val="Normal"/>
    <w:link w:val="FotnotstextChar"/>
    <w:uiPriority w:val="99"/>
    <w:rsid w:val="00AA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A23D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AA23DD"/>
    <w:rPr>
      <w:vertAlign w:val="superscript"/>
    </w:rPr>
  </w:style>
  <w:style w:type="character" w:styleId="Kommentarsreferens">
    <w:name w:val="annotation reference"/>
    <w:basedOn w:val="Standardstycketeckensnitt"/>
    <w:rsid w:val="00C0687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687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C0687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722A"/>
    <w:pPr>
      <w:overflowPunct/>
      <w:autoSpaceDE/>
      <w:autoSpaceDN/>
      <w:adjustRightInd/>
      <w:textAlignment w:val="auto"/>
    </w:pPr>
    <w:rPr>
      <w:rFonts w:ascii="Book Antiqua" w:eastAsiaTheme="minorHAnsi" w:hAnsi="Book Antiqua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722A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7852"/>
    <w:rPr>
      <w:color w:val="800080" w:themeColor="followedHyperlink"/>
      <w:u w:val="single"/>
    </w:rPr>
  </w:style>
  <w:style w:type="character" w:customStyle="1" w:styleId="FormatmallKursiv">
    <w:name w:val="Formatmall Kursiv"/>
    <w:basedOn w:val="Standardstycketeckensnitt"/>
    <w:rsid w:val="00537852"/>
    <w:rPr>
      <w:rFonts w:ascii="Times New Roman" w:hAnsi="Times New Roman"/>
      <w:i/>
      <w:iCs/>
      <w:sz w:val="24"/>
    </w:rPr>
  </w:style>
  <w:style w:type="paragraph" w:customStyle="1" w:styleId="FormatmallRubrik4InteFet">
    <w:name w:val="Formatmall Rubrik 4 + Inte Fet"/>
    <w:basedOn w:val="Rubrik4"/>
    <w:link w:val="FormatmallRubrik4InteFetChar"/>
    <w:rsid w:val="00561468"/>
    <w:pPr>
      <w:tabs>
        <w:tab w:val="left" w:pos="852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/>
      <w:bCs w:val="0"/>
      <w:i/>
      <w:sz w:val="24"/>
      <w:szCs w:val="24"/>
      <w:lang w:eastAsia="sv-SE"/>
    </w:rPr>
  </w:style>
  <w:style w:type="character" w:customStyle="1" w:styleId="FormatmallRubrik4InteFetChar">
    <w:name w:val="Formatmall Rubrik 4 + Inte Fet Char"/>
    <w:basedOn w:val="Rubrik4Char"/>
    <w:link w:val="FormatmallRubrik4InteFet"/>
    <w:rsid w:val="00561468"/>
    <w:rPr>
      <w:rFonts w:ascii="Times New Roman" w:eastAsia="Times New Roman" w:hAnsi="Times New Roman" w:cs="Times New Roman"/>
      <w:b/>
      <w:bCs w:val="0"/>
      <w:i/>
      <w:i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8D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EC579F"/>
    <w:pPr>
      <w:spacing w:after="0" w:line="240" w:lineRule="auto"/>
    </w:pPr>
    <w:rPr>
      <w:rFonts w:ascii="Book Antiqua" w:hAnsi="Book Antiqua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33EEA"/>
    <w:pPr>
      <w:spacing w:after="100" w:line="240" w:lineRule="auto"/>
      <w:ind w:left="4252"/>
    </w:pPr>
    <w:rPr>
      <w:rFonts w:ascii="Palatino" w:eastAsiaTheme="minorEastAsia" w:hAnsi="Palatino"/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33EEA"/>
    <w:rPr>
      <w:rFonts w:ascii="Palatino" w:eastAsiaTheme="minorEastAsia" w:hAnsi="Palatino"/>
      <w:sz w:val="20"/>
    </w:rPr>
  </w:style>
  <w:style w:type="paragraph" w:customStyle="1" w:styleId="ingress">
    <w:name w:val="ingress"/>
    <w:basedOn w:val="Normal"/>
    <w:rsid w:val="00D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9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fsmalltextbold1">
    <w:name w:val="of_smalltextbold1"/>
    <w:basedOn w:val="Standardstycketeckensnitt"/>
    <w:rsid w:val="00DA7F7D"/>
    <w:rPr>
      <w:rFonts w:ascii="Tahoma" w:hAnsi="Tahoma" w:cs="Tahoma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7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b.se/AM0108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KELA\AppData\Roaming\Microsoft\Templates\Kvalitetsdeklaration.dotx" TargetMode="External"/></Relationships>
</file>

<file path=word/theme/theme1.xml><?xml version="1.0" encoding="utf-8"?>
<a:theme xmlns:a="http://schemas.openxmlformats.org/drawingml/2006/main" name="Office-tema">
  <a:themeElements>
    <a:clrScheme name="SCB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5A417"/>
      </a:accent1>
      <a:accent2>
        <a:srgbClr val="919294"/>
      </a:accent2>
      <a:accent3>
        <a:srgbClr val="1098AF"/>
      </a:accent3>
      <a:accent4>
        <a:srgbClr val="A2B236"/>
      </a:accent4>
      <a:accent5>
        <a:srgbClr val="702679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6A1-42E8-4C74-AE83-B58E2B1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Kvalitetsdeklaration</Template>
  <TotalTime>45</TotalTime>
  <Pages>9</Pages>
  <Words>2734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Kvalitet för officiell statistik - en handbok</dc:subject>
  <dc:creator>Norén Leif ES/LA-Ö</dc:creator>
  <cp:lastModifiedBy>Lambertson Kenneth SSA/AU/LS-Ö</cp:lastModifiedBy>
  <cp:revision>4</cp:revision>
  <cp:lastPrinted>2017-03-14T07:13:00Z</cp:lastPrinted>
  <dcterms:created xsi:type="dcterms:W3CDTF">2023-03-29T04:38:00Z</dcterms:created>
  <dcterms:modified xsi:type="dcterms:W3CDTF">2024-03-26T08:47:00Z</dcterms:modified>
</cp:coreProperties>
</file>